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C3D84" w14:textId="2622455A" w:rsidR="00253BDA" w:rsidRPr="00FC718F" w:rsidRDefault="00253BDA" w:rsidP="00B76C54">
      <w:pPr>
        <w:jc w:val="both"/>
        <w:rPr>
          <w:sz w:val="18"/>
        </w:rPr>
      </w:pPr>
      <w:r w:rsidRPr="00FC718F">
        <w:rPr>
          <w:sz w:val="18"/>
        </w:rPr>
        <w:t xml:space="preserve">To: </w:t>
      </w:r>
      <w:r w:rsidR="00F16528" w:rsidRPr="00FC718F">
        <w:rPr>
          <w:sz w:val="18"/>
        </w:rPr>
        <w:t xml:space="preserve">World Bank </w:t>
      </w:r>
      <w:r w:rsidR="00D82F11" w:rsidRPr="00FC718F">
        <w:rPr>
          <w:sz w:val="18"/>
        </w:rPr>
        <w:t xml:space="preserve">Group </w:t>
      </w:r>
      <w:r w:rsidR="00F16528" w:rsidRPr="00FC718F">
        <w:rPr>
          <w:sz w:val="18"/>
        </w:rPr>
        <w:t>PPP team</w:t>
      </w:r>
      <w:r w:rsidR="00D82F11" w:rsidRPr="00FC718F">
        <w:rPr>
          <w:sz w:val="18"/>
        </w:rPr>
        <w:tab/>
      </w:r>
      <w:r w:rsidR="00D82F11" w:rsidRPr="00FC718F">
        <w:rPr>
          <w:sz w:val="18"/>
        </w:rPr>
        <w:tab/>
      </w:r>
      <w:r w:rsidR="00D82F11" w:rsidRPr="00FC718F">
        <w:rPr>
          <w:sz w:val="18"/>
        </w:rPr>
        <w:tab/>
      </w:r>
      <w:r w:rsidR="00D82F11" w:rsidRPr="00FC718F">
        <w:rPr>
          <w:sz w:val="18"/>
        </w:rPr>
        <w:tab/>
      </w:r>
      <w:r w:rsidR="00D82F11" w:rsidRPr="00FC718F">
        <w:rPr>
          <w:sz w:val="18"/>
        </w:rPr>
        <w:tab/>
      </w:r>
      <w:r w:rsidR="00D82F11" w:rsidRPr="00FC718F">
        <w:rPr>
          <w:sz w:val="18"/>
        </w:rPr>
        <w:tab/>
        <w:t xml:space="preserve">         </w:t>
      </w:r>
      <w:r w:rsidR="001E5FC1">
        <w:rPr>
          <w:sz w:val="18"/>
        </w:rPr>
        <w:t>2</w:t>
      </w:r>
      <w:r w:rsidR="00D82F11" w:rsidRPr="00FC718F">
        <w:rPr>
          <w:sz w:val="18"/>
        </w:rPr>
        <w:t xml:space="preserve"> </w:t>
      </w:r>
      <w:r w:rsidR="001E5FC1">
        <w:rPr>
          <w:sz w:val="18"/>
        </w:rPr>
        <w:t>February</w:t>
      </w:r>
      <w:r w:rsidR="00D82F11" w:rsidRPr="00FC718F">
        <w:rPr>
          <w:sz w:val="18"/>
        </w:rPr>
        <w:t xml:space="preserve"> 2017</w:t>
      </w:r>
    </w:p>
    <w:p w14:paraId="4BD2AA4F" w14:textId="5A240344" w:rsidR="00253BDA" w:rsidRPr="00FC718F" w:rsidRDefault="00253BDA" w:rsidP="00253BDA">
      <w:pPr>
        <w:jc w:val="both"/>
        <w:rPr>
          <w:sz w:val="18"/>
        </w:rPr>
      </w:pPr>
      <w:r w:rsidRPr="00FC718F">
        <w:rPr>
          <w:sz w:val="18"/>
        </w:rPr>
        <w:t xml:space="preserve">CC: </w:t>
      </w:r>
      <w:r w:rsidR="00F16528" w:rsidRPr="00FC718F">
        <w:rPr>
          <w:iCs/>
          <w:sz w:val="18"/>
        </w:rPr>
        <w:t>World Bank Executive Directors</w:t>
      </w:r>
    </w:p>
    <w:p w14:paraId="0F3D2237" w14:textId="046B9B40" w:rsidR="00253BDA" w:rsidRPr="00FC718F" w:rsidRDefault="00253BDA" w:rsidP="00B76C54">
      <w:pPr>
        <w:jc w:val="both"/>
        <w:rPr>
          <w:b/>
          <w:sz w:val="22"/>
          <w:u w:val="single"/>
        </w:rPr>
      </w:pPr>
    </w:p>
    <w:p w14:paraId="1B9F5309" w14:textId="4BD1AB34" w:rsidR="00D82F11" w:rsidRPr="00FC718F" w:rsidRDefault="004C4AA8" w:rsidP="00D82F11">
      <w:pPr>
        <w:jc w:val="center"/>
        <w:rPr>
          <w:rFonts w:eastAsia="Times New Roman" w:cs="Times New Roman"/>
          <w:color w:val="000000"/>
          <w:kern w:val="36"/>
          <w:sz w:val="36"/>
          <w:szCs w:val="39"/>
          <w:lang w:eastAsia="nl-BE"/>
        </w:rPr>
      </w:pPr>
      <w:r w:rsidRPr="00FC718F">
        <w:rPr>
          <w:b/>
          <w:sz w:val="22"/>
          <w:u w:val="single"/>
        </w:rPr>
        <w:t xml:space="preserve">Concerning: </w:t>
      </w:r>
      <w:r w:rsidR="00D82F11" w:rsidRPr="00FC718F">
        <w:rPr>
          <w:b/>
          <w:sz w:val="22"/>
          <w:u w:val="single"/>
        </w:rPr>
        <w:t>Public consultation on Recommended Public-Private Partnership (PPP) Contractual Provisions</w:t>
      </w:r>
    </w:p>
    <w:p w14:paraId="5AC8C871" w14:textId="77777777" w:rsidR="00D82F11" w:rsidRPr="00FC718F" w:rsidRDefault="00D82F11" w:rsidP="00B76C54">
      <w:pPr>
        <w:jc w:val="both"/>
        <w:rPr>
          <w:b/>
          <w:sz w:val="22"/>
          <w:u w:val="single"/>
        </w:rPr>
      </w:pPr>
    </w:p>
    <w:p w14:paraId="0682EA57" w14:textId="38E5F6B0" w:rsidR="00B76C54" w:rsidRPr="00FC718F" w:rsidRDefault="00B76C54" w:rsidP="00B76C54">
      <w:pPr>
        <w:jc w:val="both"/>
        <w:rPr>
          <w:sz w:val="22"/>
          <w:szCs w:val="22"/>
        </w:rPr>
      </w:pPr>
      <w:r w:rsidRPr="00FC718F">
        <w:rPr>
          <w:sz w:val="22"/>
          <w:szCs w:val="22"/>
        </w:rPr>
        <w:t xml:space="preserve">Dear </w:t>
      </w:r>
      <w:r w:rsidR="00D82F11" w:rsidRPr="00FC718F">
        <w:rPr>
          <w:sz w:val="22"/>
          <w:szCs w:val="22"/>
        </w:rPr>
        <w:t xml:space="preserve">World Bank Group </w:t>
      </w:r>
      <w:r w:rsidR="00147631" w:rsidRPr="00FC718F">
        <w:rPr>
          <w:sz w:val="22"/>
          <w:szCs w:val="22"/>
        </w:rPr>
        <w:t xml:space="preserve">(WBG) </w:t>
      </w:r>
      <w:r w:rsidR="00D82F11" w:rsidRPr="00FC718F">
        <w:rPr>
          <w:sz w:val="22"/>
          <w:szCs w:val="22"/>
        </w:rPr>
        <w:t>PPP team and Executive Directors</w:t>
      </w:r>
      <w:r w:rsidRPr="00FC718F">
        <w:rPr>
          <w:sz w:val="22"/>
          <w:szCs w:val="22"/>
        </w:rPr>
        <w:t xml:space="preserve">, </w:t>
      </w:r>
    </w:p>
    <w:p w14:paraId="6764CB4B" w14:textId="77777777" w:rsidR="00B76C54" w:rsidRPr="00FC718F" w:rsidRDefault="00B76C54" w:rsidP="00B76C54">
      <w:pPr>
        <w:jc w:val="both"/>
        <w:rPr>
          <w:sz w:val="22"/>
          <w:szCs w:val="22"/>
        </w:rPr>
      </w:pPr>
    </w:p>
    <w:p w14:paraId="4F9EDBC3" w14:textId="41477C1D" w:rsidR="00DC58F9" w:rsidRPr="00FC718F" w:rsidRDefault="00CD09B5" w:rsidP="005E519F">
      <w:pPr>
        <w:jc w:val="both"/>
        <w:rPr>
          <w:sz w:val="22"/>
          <w:szCs w:val="22"/>
        </w:rPr>
      </w:pPr>
      <w:r w:rsidRPr="00FC718F">
        <w:rPr>
          <w:sz w:val="22"/>
          <w:szCs w:val="22"/>
        </w:rPr>
        <w:t xml:space="preserve">We </w:t>
      </w:r>
      <w:r w:rsidR="00050DD3">
        <w:rPr>
          <w:sz w:val="22"/>
          <w:szCs w:val="22"/>
        </w:rPr>
        <w:t>are writing to explain why we will not participate in this public consultation</w:t>
      </w:r>
      <w:r w:rsidR="00E43904">
        <w:rPr>
          <w:sz w:val="22"/>
          <w:szCs w:val="22"/>
        </w:rPr>
        <w:t xml:space="preserve"> and why we are encouraging other stakeholders to </w:t>
      </w:r>
      <w:r w:rsidR="008B4B1C">
        <w:rPr>
          <w:sz w:val="22"/>
          <w:szCs w:val="22"/>
        </w:rPr>
        <w:t>adopt</w:t>
      </w:r>
      <w:r w:rsidR="00E43904">
        <w:rPr>
          <w:sz w:val="22"/>
          <w:szCs w:val="22"/>
        </w:rPr>
        <w:t xml:space="preserve"> the same approach</w:t>
      </w:r>
      <w:r w:rsidR="00050DD3">
        <w:rPr>
          <w:sz w:val="22"/>
          <w:szCs w:val="22"/>
        </w:rPr>
        <w:t>. We</w:t>
      </w:r>
      <w:r w:rsidR="005E519F" w:rsidRPr="00FC718F">
        <w:rPr>
          <w:sz w:val="22"/>
          <w:szCs w:val="22"/>
        </w:rPr>
        <w:t xml:space="preserve"> </w:t>
      </w:r>
      <w:r w:rsidR="00DC58F9" w:rsidRPr="00FC718F">
        <w:rPr>
          <w:sz w:val="22"/>
          <w:szCs w:val="22"/>
        </w:rPr>
        <w:t xml:space="preserve">strongly </w:t>
      </w:r>
      <w:r w:rsidR="005E519F" w:rsidRPr="00FC718F">
        <w:rPr>
          <w:sz w:val="22"/>
          <w:szCs w:val="22"/>
        </w:rPr>
        <w:t>believe</w:t>
      </w:r>
      <w:r w:rsidR="00DC58F9" w:rsidRPr="00FC718F">
        <w:rPr>
          <w:sz w:val="22"/>
          <w:szCs w:val="22"/>
        </w:rPr>
        <w:t xml:space="preserve"> that</w:t>
      </w:r>
      <w:r w:rsidR="00DC2F0F">
        <w:rPr>
          <w:sz w:val="22"/>
          <w:szCs w:val="22"/>
        </w:rPr>
        <w:t xml:space="preserve"> </w:t>
      </w:r>
      <w:r w:rsidR="00050DD3">
        <w:rPr>
          <w:sz w:val="22"/>
          <w:szCs w:val="22"/>
        </w:rPr>
        <w:t xml:space="preserve">the WBG should not address contractual provisions without first and foremost fixing the perverse accounting incentives which make PPPs a dangerous tool. </w:t>
      </w:r>
    </w:p>
    <w:p w14:paraId="6864C34E" w14:textId="77777777" w:rsidR="00DC58F9" w:rsidRPr="00FC718F" w:rsidRDefault="00DC58F9" w:rsidP="005E519F">
      <w:pPr>
        <w:jc w:val="both"/>
        <w:rPr>
          <w:sz w:val="22"/>
          <w:szCs w:val="22"/>
        </w:rPr>
      </w:pPr>
    </w:p>
    <w:p w14:paraId="4C4BD887" w14:textId="79E63C3D" w:rsidR="007C7997" w:rsidRPr="00FC718F" w:rsidRDefault="007C7997" w:rsidP="00AD058F">
      <w:pPr>
        <w:jc w:val="both"/>
        <w:rPr>
          <w:sz w:val="22"/>
          <w:szCs w:val="21"/>
        </w:rPr>
      </w:pPr>
      <w:r w:rsidRPr="00FC718F">
        <w:rPr>
          <w:sz w:val="22"/>
          <w:szCs w:val="22"/>
        </w:rPr>
        <w:t xml:space="preserve">Today many countries go for PPPs instead of traditional procurement not because of efficiency gains, but because non-transparent accounting measures allow them to keep the costs and contingent liabilities “off-balance sheet”, which means that the true costs of the projects remain hidden. </w:t>
      </w:r>
      <w:r w:rsidR="00111763" w:rsidRPr="00FC718F">
        <w:rPr>
          <w:sz w:val="22"/>
          <w:szCs w:val="22"/>
        </w:rPr>
        <w:t>T</w:t>
      </w:r>
      <w:r w:rsidRPr="00FC718F">
        <w:rPr>
          <w:sz w:val="22"/>
          <w:szCs w:val="22"/>
        </w:rPr>
        <w:t>his</w:t>
      </w:r>
      <w:r w:rsidR="00E43904">
        <w:rPr>
          <w:sz w:val="22"/>
          <w:szCs w:val="22"/>
        </w:rPr>
        <w:t xml:space="preserve"> </w:t>
      </w:r>
      <w:r w:rsidR="00111763" w:rsidRPr="00FC718F">
        <w:rPr>
          <w:sz w:val="22"/>
          <w:szCs w:val="22"/>
        </w:rPr>
        <w:t>is one</w:t>
      </w:r>
      <w:r w:rsidRPr="00FC718F">
        <w:rPr>
          <w:sz w:val="22"/>
          <w:szCs w:val="22"/>
        </w:rPr>
        <w:t xml:space="preserve"> of the </w:t>
      </w:r>
      <w:r w:rsidR="00463827" w:rsidRPr="00FC718F">
        <w:rPr>
          <w:sz w:val="22"/>
          <w:szCs w:val="22"/>
        </w:rPr>
        <w:t xml:space="preserve">key </w:t>
      </w:r>
      <w:r w:rsidR="00C42F3A">
        <w:rPr>
          <w:sz w:val="22"/>
          <w:szCs w:val="22"/>
        </w:rPr>
        <w:t>drivers behind PPPs. I</w:t>
      </w:r>
      <w:r w:rsidRPr="00FC718F">
        <w:rPr>
          <w:sz w:val="22"/>
          <w:szCs w:val="22"/>
        </w:rPr>
        <w:t>t enables decision-makers to circumvent legislated budgetary limits and still deliver essential services, without having to take into account the fiscal implications in the medium and long-term.</w:t>
      </w:r>
      <w:r w:rsidR="009E1B46">
        <w:rPr>
          <w:sz w:val="22"/>
          <w:szCs w:val="22"/>
        </w:rPr>
        <w:t xml:space="preserve"> </w:t>
      </w:r>
    </w:p>
    <w:p w14:paraId="14BE8E15" w14:textId="77777777" w:rsidR="007C7997" w:rsidRPr="00FC718F" w:rsidRDefault="007C7997" w:rsidP="00AD058F">
      <w:pPr>
        <w:jc w:val="both"/>
        <w:rPr>
          <w:sz w:val="22"/>
          <w:szCs w:val="21"/>
        </w:rPr>
      </w:pPr>
    </w:p>
    <w:p w14:paraId="35D0E664" w14:textId="4902874C" w:rsidR="007C7997" w:rsidRPr="00FC718F" w:rsidRDefault="007C7997" w:rsidP="007C7997">
      <w:pPr>
        <w:jc w:val="both"/>
        <w:rPr>
          <w:rFonts w:cstheme="majorHAnsi"/>
          <w:sz w:val="22"/>
          <w:szCs w:val="22"/>
        </w:rPr>
      </w:pPr>
      <w:r w:rsidRPr="00FC718F">
        <w:rPr>
          <w:sz w:val="22"/>
          <w:szCs w:val="22"/>
        </w:rPr>
        <w:t>By using off-balance sheet accounting measures, gover</w:t>
      </w:r>
      <w:r w:rsidR="00DE0727" w:rsidRPr="00FC718F">
        <w:rPr>
          <w:sz w:val="22"/>
          <w:szCs w:val="22"/>
        </w:rPr>
        <w:t>n</w:t>
      </w:r>
      <w:r w:rsidRPr="00FC718F">
        <w:rPr>
          <w:sz w:val="22"/>
          <w:szCs w:val="22"/>
        </w:rPr>
        <w:t xml:space="preserve">ments create the </w:t>
      </w:r>
      <w:r w:rsidR="00463827" w:rsidRPr="00FC718F">
        <w:rPr>
          <w:sz w:val="22"/>
          <w:szCs w:val="22"/>
        </w:rPr>
        <w:t xml:space="preserve">dangerous </w:t>
      </w:r>
      <w:r w:rsidRPr="00FC718F">
        <w:rPr>
          <w:sz w:val="22"/>
          <w:szCs w:val="22"/>
        </w:rPr>
        <w:t xml:space="preserve">illusion that PPPs are cheaper than they really are. </w:t>
      </w:r>
      <w:r w:rsidR="004B675D">
        <w:rPr>
          <w:sz w:val="22"/>
          <w:szCs w:val="22"/>
        </w:rPr>
        <w:t>Also</w:t>
      </w:r>
      <w:r w:rsidR="00DC2F0F" w:rsidRPr="00FC718F">
        <w:rPr>
          <w:sz w:val="22"/>
          <w:szCs w:val="22"/>
        </w:rPr>
        <w:t xml:space="preserve"> </w:t>
      </w:r>
      <w:r w:rsidRPr="00FC718F">
        <w:rPr>
          <w:sz w:val="22"/>
          <w:szCs w:val="22"/>
        </w:rPr>
        <w:t xml:space="preserve">the European Commission is warning </w:t>
      </w:r>
      <w:r w:rsidR="00DC2F0F">
        <w:rPr>
          <w:sz w:val="22"/>
          <w:szCs w:val="22"/>
        </w:rPr>
        <w:t>of</w:t>
      </w:r>
      <w:r w:rsidR="00DC2F0F" w:rsidRPr="00FC718F">
        <w:rPr>
          <w:sz w:val="22"/>
          <w:szCs w:val="22"/>
        </w:rPr>
        <w:t xml:space="preserve"> </w:t>
      </w:r>
      <w:r w:rsidRPr="00FC718F">
        <w:rPr>
          <w:sz w:val="22"/>
          <w:szCs w:val="22"/>
        </w:rPr>
        <w:t>an “‘affordability illusion’ which tends to be exacerbated when a project i</w:t>
      </w:r>
      <w:r w:rsidR="004B675D">
        <w:rPr>
          <w:sz w:val="22"/>
          <w:szCs w:val="22"/>
        </w:rPr>
        <w:t>s found to be off balance sheet”</w:t>
      </w:r>
      <w:r w:rsidRPr="00FC718F">
        <w:rPr>
          <w:rStyle w:val="FootnoteReference"/>
          <w:sz w:val="22"/>
          <w:szCs w:val="22"/>
        </w:rPr>
        <w:footnoteReference w:id="1"/>
      </w:r>
      <w:r w:rsidR="00111763" w:rsidRPr="00FC718F">
        <w:rPr>
          <w:sz w:val="22"/>
          <w:szCs w:val="22"/>
        </w:rPr>
        <w:t>.</w:t>
      </w:r>
      <w:r w:rsidRPr="00FC718F">
        <w:rPr>
          <w:sz w:val="22"/>
          <w:szCs w:val="22"/>
        </w:rPr>
        <w:t xml:space="preserve"> Likewise, experts within the IMF’s Fiscal Affairs Department argue that “an inadequate budgetary and/or statistical treatment may allow governments to ignore the impact of PPPs on public debt and deficit. In practice, governments often end up bearing more fiscal costs and risks than expected in the medium and longer term”</w:t>
      </w:r>
      <w:r w:rsidRPr="00FC718F">
        <w:rPr>
          <w:rStyle w:val="FootnoteReference"/>
          <w:sz w:val="22"/>
          <w:szCs w:val="22"/>
        </w:rPr>
        <w:footnoteReference w:id="2"/>
      </w:r>
      <w:r w:rsidR="00DC2F0F">
        <w:rPr>
          <w:sz w:val="22"/>
          <w:szCs w:val="22"/>
        </w:rPr>
        <w:t>.</w:t>
      </w:r>
      <w:r w:rsidRPr="00FC718F">
        <w:rPr>
          <w:sz w:val="22"/>
          <w:szCs w:val="22"/>
        </w:rPr>
        <w:t xml:space="preserve"> </w:t>
      </w:r>
      <w:r w:rsidR="004B675D">
        <w:rPr>
          <w:sz w:val="22"/>
          <w:szCs w:val="22"/>
        </w:rPr>
        <w:t xml:space="preserve">Indeed, </w:t>
      </w:r>
      <w:r w:rsidR="00433CEC" w:rsidRPr="00FC718F">
        <w:rPr>
          <w:sz w:val="22"/>
          <w:szCs w:val="22"/>
        </w:rPr>
        <w:t>PPPs have</w:t>
      </w:r>
      <w:r w:rsidRPr="00FC718F">
        <w:rPr>
          <w:sz w:val="22"/>
          <w:szCs w:val="22"/>
        </w:rPr>
        <w:t xml:space="preserve"> </w:t>
      </w:r>
      <w:r w:rsidRPr="00FC718F">
        <w:rPr>
          <w:rFonts w:cstheme="majorHAnsi"/>
          <w:sz w:val="22"/>
          <w:szCs w:val="22"/>
        </w:rPr>
        <w:t>already left lasting fiscal legacies in countries such as Portugal, Hungary</w:t>
      </w:r>
      <w:r w:rsidRPr="00FC718F">
        <w:rPr>
          <w:rStyle w:val="FootnoteReference"/>
          <w:rFonts w:cstheme="majorHAnsi"/>
          <w:sz w:val="22"/>
          <w:szCs w:val="22"/>
        </w:rPr>
        <w:footnoteReference w:id="3"/>
      </w:r>
      <w:r w:rsidRPr="00FC718F">
        <w:rPr>
          <w:rFonts w:cstheme="majorHAnsi"/>
          <w:sz w:val="22"/>
          <w:szCs w:val="22"/>
        </w:rPr>
        <w:t>, Ghana, Tanzania, Uganda</w:t>
      </w:r>
      <w:r w:rsidRPr="00FC718F">
        <w:rPr>
          <w:rStyle w:val="FootnoteReference"/>
          <w:rFonts w:cstheme="majorHAnsi"/>
          <w:sz w:val="22"/>
          <w:szCs w:val="22"/>
        </w:rPr>
        <w:footnoteReference w:id="4"/>
      </w:r>
      <w:r w:rsidRPr="00FC718F">
        <w:rPr>
          <w:rFonts w:cstheme="majorHAnsi"/>
          <w:sz w:val="22"/>
          <w:szCs w:val="22"/>
        </w:rPr>
        <w:t>, Peru</w:t>
      </w:r>
      <w:r w:rsidRPr="00FC718F">
        <w:rPr>
          <w:rStyle w:val="FootnoteReference"/>
          <w:rFonts w:cstheme="majorHAnsi"/>
          <w:sz w:val="22"/>
          <w:szCs w:val="22"/>
        </w:rPr>
        <w:footnoteReference w:id="5"/>
      </w:r>
      <w:r w:rsidRPr="00FC718F">
        <w:rPr>
          <w:rFonts w:cstheme="majorHAnsi"/>
          <w:sz w:val="22"/>
          <w:szCs w:val="22"/>
        </w:rPr>
        <w:t xml:space="preserve"> - or Lesotho, where a PPP hospital swallowed up half of the country’s health care budget while giving a high return of 25% to the private sector provider</w:t>
      </w:r>
      <w:r w:rsidRPr="00FC718F">
        <w:rPr>
          <w:rStyle w:val="FootnoteReference"/>
          <w:rFonts w:cstheme="majorHAnsi"/>
          <w:sz w:val="22"/>
          <w:szCs w:val="22"/>
        </w:rPr>
        <w:footnoteReference w:id="6"/>
      </w:r>
      <w:r w:rsidRPr="00FC718F">
        <w:rPr>
          <w:rFonts w:cstheme="majorHAnsi"/>
          <w:sz w:val="22"/>
          <w:szCs w:val="22"/>
        </w:rPr>
        <w:t xml:space="preserve">. </w:t>
      </w:r>
    </w:p>
    <w:p w14:paraId="329775D4" w14:textId="77777777" w:rsidR="007C7997" w:rsidRPr="00FC718F" w:rsidRDefault="007C7997" w:rsidP="007C7997">
      <w:pPr>
        <w:jc w:val="both"/>
        <w:rPr>
          <w:sz w:val="22"/>
          <w:szCs w:val="22"/>
        </w:rPr>
      </w:pPr>
    </w:p>
    <w:p w14:paraId="73993866" w14:textId="407CD21A" w:rsidR="00AD058F" w:rsidRPr="00FC718F" w:rsidRDefault="00CD43DB" w:rsidP="00AD058F">
      <w:pPr>
        <w:jc w:val="both"/>
        <w:rPr>
          <w:rFonts w:cstheme="majorHAnsi"/>
          <w:sz w:val="22"/>
          <w:szCs w:val="22"/>
        </w:rPr>
      </w:pPr>
      <w:r w:rsidRPr="00FC718F">
        <w:rPr>
          <w:rFonts w:cstheme="majorHAnsi"/>
          <w:sz w:val="22"/>
          <w:szCs w:val="22"/>
        </w:rPr>
        <w:t>W</w:t>
      </w:r>
      <w:r w:rsidR="006450A6">
        <w:rPr>
          <w:rFonts w:cstheme="majorHAnsi"/>
          <w:sz w:val="22"/>
          <w:szCs w:val="22"/>
        </w:rPr>
        <w:t xml:space="preserve">e regret that </w:t>
      </w:r>
      <w:r w:rsidR="00E43904">
        <w:rPr>
          <w:rFonts w:cstheme="majorHAnsi"/>
          <w:sz w:val="22"/>
          <w:szCs w:val="22"/>
        </w:rPr>
        <w:t>the WBG has not</w:t>
      </w:r>
      <w:r w:rsidR="006450A6">
        <w:rPr>
          <w:rFonts w:cstheme="majorHAnsi"/>
          <w:sz w:val="22"/>
          <w:szCs w:val="22"/>
        </w:rPr>
        <w:t xml:space="preserve"> paid sufficient attention to </w:t>
      </w:r>
      <w:r w:rsidR="00E43904">
        <w:rPr>
          <w:rFonts w:cstheme="majorHAnsi"/>
          <w:sz w:val="22"/>
          <w:szCs w:val="22"/>
        </w:rPr>
        <w:t>this fundamental problem</w:t>
      </w:r>
      <w:r w:rsidR="006450A6">
        <w:rPr>
          <w:rFonts w:cstheme="majorHAnsi"/>
          <w:sz w:val="22"/>
          <w:szCs w:val="22"/>
        </w:rPr>
        <w:t>.</w:t>
      </w:r>
      <w:r w:rsidR="00E43904">
        <w:rPr>
          <w:rFonts w:cstheme="majorHAnsi"/>
          <w:sz w:val="22"/>
          <w:szCs w:val="22"/>
        </w:rPr>
        <w:t xml:space="preserve"> </w:t>
      </w:r>
      <w:r w:rsidR="006450A6">
        <w:rPr>
          <w:rFonts w:cstheme="majorHAnsi"/>
          <w:sz w:val="22"/>
          <w:szCs w:val="22"/>
        </w:rPr>
        <w:t>T</w:t>
      </w:r>
      <w:r w:rsidR="00AD058F" w:rsidRPr="00FC718F">
        <w:rPr>
          <w:rFonts w:cstheme="majorHAnsi"/>
          <w:sz w:val="22"/>
          <w:szCs w:val="22"/>
        </w:rPr>
        <w:t>he</w:t>
      </w:r>
      <w:r w:rsidRPr="00FC718F">
        <w:rPr>
          <w:rFonts w:cstheme="majorHAnsi"/>
          <w:sz w:val="22"/>
          <w:szCs w:val="22"/>
        </w:rPr>
        <w:t xml:space="preserve"> different reports, frameworks and guides that the WBG has produced over the years </w:t>
      </w:r>
      <w:r w:rsidR="00E43904">
        <w:rPr>
          <w:rFonts w:cstheme="majorHAnsi"/>
          <w:sz w:val="22"/>
          <w:szCs w:val="22"/>
        </w:rPr>
        <w:t>have</w:t>
      </w:r>
      <w:r w:rsidR="00111763" w:rsidRPr="00FC718F">
        <w:rPr>
          <w:rFonts w:cstheme="majorHAnsi"/>
          <w:sz w:val="22"/>
          <w:szCs w:val="22"/>
        </w:rPr>
        <w:t xml:space="preserve"> </w:t>
      </w:r>
      <w:r w:rsidRPr="00FC718F">
        <w:rPr>
          <w:rFonts w:cstheme="majorHAnsi"/>
          <w:sz w:val="22"/>
          <w:szCs w:val="22"/>
        </w:rPr>
        <w:t>remained</w:t>
      </w:r>
      <w:r w:rsidR="00AD058F" w:rsidRPr="00FC718F">
        <w:rPr>
          <w:rFonts w:cstheme="majorHAnsi"/>
          <w:sz w:val="22"/>
          <w:szCs w:val="22"/>
        </w:rPr>
        <w:t xml:space="preserve"> ambiguous about the WBG’s position on on-balance sheet accounting for PPPs. </w:t>
      </w:r>
      <w:r w:rsidR="009B3E9D">
        <w:rPr>
          <w:rFonts w:cstheme="majorHAnsi"/>
          <w:sz w:val="22"/>
          <w:szCs w:val="22"/>
        </w:rPr>
        <w:t xml:space="preserve">And again </w:t>
      </w:r>
      <w:r w:rsidR="00AD058F" w:rsidRPr="00FC718F">
        <w:rPr>
          <w:rFonts w:cstheme="majorHAnsi"/>
          <w:sz w:val="22"/>
          <w:szCs w:val="22"/>
        </w:rPr>
        <w:t>in th</w:t>
      </w:r>
      <w:r w:rsidR="009B3E9D">
        <w:rPr>
          <w:rFonts w:cstheme="majorHAnsi"/>
          <w:sz w:val="22"/>
          <w:szCs w:val="22"/>
        </w:rPr>
        <w:t>is</w:t>
      </w:r>
      <w:r w:rsidR="00AD058F" w:rsidRPr="00FC718F">
        <w:rPr>
          <w:rFonts w:cstheme="majorHAnsi"/>
          <w:sz w:val="22"/>
          <w:szCs w:val="22"/>
        </w:rPr>
        <w:t xml:space="preserve"> draft report on Recommended PPP Contractual Provisions, the WBG only lists the concerns raised by other institutions and does </w:t>
      </w:r>
      <w:r w:rsidR="00183E88" w:rsidRPr="00FC718F">
        <w:rPr>
          <w:rFonts w:cstheme="majorHAnsi"/>
          <w:sz w:val="22"/>
          <w:szCs w:val="22"/>
        </w:rPr>
        <w:t xml:space="preserve">not </w:t>
      </w:r>
      <w:r w:rsidR="00AD058F" w:rsidRPr="00FC718F">
        <w:rPr>
          <w:rFonts w:cstheme="majorHAnsi"/>
          <w:sz w:val="22"/>
          <w:szCs w:val="22"/>
        </w:rPr>
        <w:t xml:space="preserve">clarify how PPPs </w:t>
      </w:r>
      <w:r w:rsidR="00AD058F" w:rsidRPr="00FC718F">
        <w:rPr>
          <w:rFonts w:cstheme="majorHAnsi"/>
          <w:sz w:val="22"/>
          <w:szCs w:val="22"/>
        </w:rPr>
        <w:lastRenderedPageBreak/>
        <w:t>should actually be accounted for and</w:t>
      </w:r>
      <w:r w:rsidRPr="00FC718F">
        <w:rPr>
          <w:rFonts w:cstheme="majorHAnsi"/>
          <w:sz w:val="22"/>
          <w:szCs w:val="22"/>
        </w:rPr>
        <w:t>, importantly,</w:t>
      </w:r>
      <w:r w:rsidR="00AD058F" w:rsidRPr="00FC718F">
        <w:rPr>
          <w:rFonts w:cstheme="majorHAnsi"/>
          <w:sz w:val="22"/>
          <w:szCs w:val="22"/>
        </w:rPr>
        <w:t xml:space="preserve"> if it would approve a project if the partner country decides to keep </w:t>
      </w:r>
      <w:r w:rsidR="00B62901" w:rsidRPr="00FC718F">
        <w:rPr>
          <w:rFonts w:cstheme="majorHAnsi"/>
          <w:sz w:val="22"/>
          <w:szCs w:val="22"/>
        </w:rPr>
        <w:t>the costs and liabilities</w:t>
      </w:r>
      <w:r w:rsidR="00AD058F" w:rsidRPr="00FC718F">
        <w:rPr>
          <w:rFonts w:cstheme="majorHAnsi"/>
          <w:sz w:val="22"/>
          <w:szCs w:val="22"/>
        </w:rPr>
        <w:t xml:space="preserve"> off the books</w:t>
      </w:r>
      <w:r w:rsidR="00C75113">
        <w:rPr>
          <w:rStyle w:val="FootnoteReference"/>
          <w:rFonts w:cstheme="majorHAnsi"/>
          <w:sz w:val="22"/>
          <w:szCs w:val="22"/>
        </w:rPr>
        <w:footnoteReference w:id="7"/>
      </w:r>
      <w:r w:rsidR="00AD058F" w:rsidRPr="00FC718F">
        <w:rPr>
          <w:rFonts w:cstheme="majorHAnsi"/>
          <w:sz w:val="22"/>
          <w:szCs w:val="22"/>
        </w:rPr>
        <w:t>.</w:t>
      </w:r>
    </w:p>
    <w:p w14:paraId="5815A574" w14:textId="77777777" w:rsidR="00AD058F" w:rsidRPr="00FC718F" w:rsidRDefault="00AD058F" w:rsidP="00AD058F">
      <w:pPr>
        <w:jc w:val="both"/>
        <w:rPr>
          <w:rFonts w:cstheme="majorHAnsi"/>
          <w:sz w:val="22"/>
          <w:szCs w:val="22"/>
        </w:rPr>
      </w:pPr>
    </w:p>
    <w:p w14:paraId="3F39EB46" w14:textId="03E37686" w:rsidR="006C62F8" w:rsidRDefault="00AD058F" w:rsidP="00CB62E3">
      <w:pPr>
        <w:jc w:val="both"/>
        <w:rPr>
          <w:sz w:val="22"/>
          <w:szCs w:val="22"/>
        </w:rPr>
      </w:pPr>
      <w:r w:rsidRPr="00FC718F">
        <w:rPr>
          <w:rFonts w:cstheme="majorHAnsi"/>
          <w:sz w:val="22"/>
          <w:szCs w:val="22"/>
        </w:rPr>
        <w:t>The WBG has a responsibility to ensure that governments</w:t>
      </w:r>
      <w:r w:rsidR="00CD43DB" w:rsidRPr="00FC718F">
        <w:rPr>
          <w:rFonts w:cstheme="majorHAnsi"/>
          <w:sz w:val="22"/>
          <w:szCs w:val="22"/>
        </w:rPr>
        <w:t xml:space="preserve"> select</w:t>
      </w:r>
      <w:r w:rsidRPr="00FC718F">
        <w:rPr>
          <w:sz w:val="22"/>
          <w:szCs w:val="22"/>
        </w:rPr>
        <w:t xml:space="preserve"> the</w:t>
      </w:r>
      <w:r w:rsidR="009B3E9D">
        <w:rPr>
          <w:sz w:val="22"/>
          <w:szCs w:val="22"/>
        </w:rPr>
        <w:t xml:space="preserve"> </w:t>
      </w:r>
      <w:r w:rsidR="009B3E9D" w:rsidRPr="00FC718F">
        <w:rPr>
          <w:sz w:val="22"/>
          <w:szCs w:val="22"/>
        </w:rPr>
        <w:t>most fiscally sustainable</w:t>
      </w:r>
      <w:r w:rsidRPr="00FC718F">
        <w:rPr>
          <w:sz w:val="22"/>
          <w:szCs w:val="22"/>
        </w:rPr>
        <w:t xml:space="preserve"> financing mechanisms</w:t>
      </w:r>
      <w:r w:rsidR="007B5EA6" w:rsidRPr="00FC718F">
        <w:rPr>
          <w:sz w:val="22"/>
          <w:szCs w:val="22"/>
        </w:rPr>
        <w:t xml:space="preserve"> </w:t>
      </w:r>
      <w:r w:rsidR="009B3E9D">
        <w:rPr>
          <w:sz w:val="22"/>
          <w:szCs w:val="22"/>
        </w:rPr>
        <w:t>for</w:t>
      </w:r>
      <w:r w:rsidR="007B5EA6" w:rsidRPr="00FC718F">
        <w:rPr>
          <w:sz w:val="22"/>
          <w:szCs w:val="22"/>
        </w:rPr>
        <w:t xml:space="preserve"> the medium and long term</w:t>
      </w:r>
      <w:r w:rsidR="009B3E9D">
        <w:rPr>
          <w:sz w:val="22"/>
          <w:szCs w:val="22"/>
        </w:rPr>
        <w:t>,</w:t>
      </w:r>
      <w:r w:rsidR="007B5EA6" w:rsidRPr="00FC718F">
        <w:rPr>
          <w:sz w:val="22"/>
          <w:szCs w:val="22"/>
        </w:rPr>
        <w:t xml:space="preserve"> and</w:t>
      </w:r>
      <w:r w:rsidR="00DD1640" w:rsidRPr="00FC718F">
        <w:rPr>
          <w:sz w:val="22"/>
          <w:szCs w:val="21"/>
        </w:rPr>
        <w:t xml:space="preserve"> </w:t>
      </w:r>
      <w:r w:rsidR="009B3E9D">
        <w:rPr>
          <w:sz w:val="22"/>
          <w:szCs w:val="21"/>
        </w:rPr>
        <w:t>hence that they</w:t>
      </w:r>
      <w:r w:rsidR="00FF321E" w:rsidRPr="00FC718F">
        <w:rPr>
          <w:sz w:val="22"/>
          <w:szCs w:val="21"/>
        </w:rPr>
        <w:t xml:space="preserve"> </w:t>
      </w:r>
      <w:r w:rsidR="00DD1640" w:rsidRPr="00FC718F">
        <w:rPr>
          <w:sz w:val="22"/>
          <w:szCs w:val="21"/>
        </w:rPr>
        <w:t xml:space="preserve">only </w:t>
      </w:r>
      <w:r w:rsidR="009B3E9D">
        <w:rPr>
          <w:sz w:val="22"/>
          <w:szCs w:val="21"/>
        </w:rPr>
        <w:t>opt</w:t>
      </w:r>
      <w:r w:rsidR="009B3E9D" w:rsidRPr="00FC718F">
        <w:rPr>
          <w:sz w:val="22"/>
          <w:szCs w:val="21"/>
        </w:rPr>
        <w:t xml:space="preserve"> </w:t>
      </w:r>
      <w:r w:rsidR="00DD1640" w:rsidRPr="00FC718F">
        <w:rPr>
          <w:sz w:val="22"/>
          <w:szCs w:val="21"/>
        </w:rPr>
        <w:t>for PPPs if their costs and liabilities are registered on</w:t>
      </w:r>
      <w:r w:rsidR="009B3E9D">
        <w:rPr>
          <w:sz w:val="22"/>
          <w:szCs w:val="21"/>
        </w:rPr>
        <w:t>-</w:t>
      </w:r>
      <w:r w:rsidR="00DD1640" w:rsidRPr="00FC718F">
        <w:rPr>
          <w:sz w:val="22"/>
          <w:szCs w:val="21"/>
        </w:rPr>
        <w:t>balance sheet</w:t>
      </w:r>
      <w:r w:rsidR="00C63C9C" w:rsidRPr="00FC718F">
        <w:rPr>
          <w:sz w:val="22"/>
          <w:szCs w:val="21"/>
        </w:rPr>
        <w:t>.</w:t>
      </w:r>
      <w:r w:rsidR="009E1B46">
        <w:rPr>
          <w:sz w:val="22"/>
          <w:szCs w:val="21"/>
        </w:rPr>
        <w:t xml:space="preserve"> Given the alarming nature of this issue, we – as </w:t>
      </w:r>
      <w:r w:rsidR="00C63C9C" w:rsidRPr="00FC718F">
        <w:rPr>
          <w:sz w:val="22"/>
          <w:szCs w:val="22"/>
        </w:rPr>
        <w:t xml:space="preserve">representatives </w:t>
      </w:r>
      <w:r w:rsidR="009E1B46">
        <w:rPr>
          <w:sz w:val="22"/>
          <w:szCs w:val="22"/>
        </w:rPr>
        <w:t xml:space="preserve">of civil society organisations – </w:t>
      </w:r>
      <w:r w:rsidR="006C62F8">
        <w:rPr>
          <w:sz w:val="22"/>
          <w:szCs w:val="22"/>
        </w:rPr>
        <w:t xml:space="preserve">have </w:t>
      </w:r>
      <w:r w:rsidR="009E1B46">
        <w:rPr>
          <w:sz w:val="22"/>
          <w:szCs w:val="22"/>
        </w:rPr>
        <w:t xml:space="preserve">therefore </w:t>
      </w:r>
      <w:r w:rsidR="006C62F8">
        <w:rPr>
          <w:sz w:val="22"/>
          <w:szCs w:val="22"/>
        </w:rPr>
        <w:t>decided that we</w:t>
      </w:r>
      <w:r w:rsidR="00C63C9C" w:rsidRPr="00FC718F">
        <w:rPr>
          <w:sz w:val="22"/>
          <w:szCs w:val="22"/>
        </w:rPr>
        <w:t xml:space="preserve"> </w:t>
      </w:r>
      <w:r w:rsidR="00CB62E3">
        <w:rPr>
          <w:sz w:val="22"/>
          <w:szCs w:val="22"/>
        </w:rPr>
        <w:t>will no longer participate in public consultations on PPPs until the WBG</w:t>
      </w:r>
      <w:r w:rsidR="006C62F8">
        <w:rPr>
          <w:sz w:val="22"/>
          <w:szCs w:val="22"/>
        </w:rPr>
        <w:t xml:space="preserve">: </w:t>
      </w:r>
    </w:p>
    <w:p w14:paraId="7E89B776" w14:textId="77777777" w:rsidR="00777E6D" w:rsidRDefault="00777E6D" w:rsidP="00CB62E3">
      <w:pPr>
        <w:jc w:val="both"/>
        <w:rPr>
          <w:sz w:val="22"/>
          <w:szCs w:val="22"/>
        </w:rPr>
      </w:pPr>
    </w:p>
    <w:p w14:paraId="05AA313D" w14:textId="5A5C3BCD" w:rsidR="00AD058F" w:rsidRPr="006C62F8" w:rsidRDefault="006C62F8" w:rsidP="00FC1A7B">
      <w:pPr>
        <w:pStyle w:val="ListParagraph"/>
        <w:numPr>
          <w:ilvl w:val="0"/>
          <w:numId w:val="5"/>
        </w:numPr>
        <w:jc w:val="both"/>
        <w:rPr>
          <w:rFonts w:cstheme="majorHAnsi"/>
        </w:rPr>
      </w:pPr>
      <w:r w:rsidRPr="006C62F8">
        <w:rPr>
          <w:sz w:val="21"/>
          <w:szCs w:val="21"/>
        </w:rPr>
        <w:t>E</w:t>
      </w:r>
      <w:r w:rsidR="00AD058F" w:rsidRPr="006C62F8">
        <w:rPr>
          <w:sz w:val="21"/>
          <w:szCs w:val="21"/>
        </w:rPr>
        <w:t xml:space="preserve">xplicitly and </w:t>
      </w:r>
      <w:r w:rsidR="009B3E9D" w:rsidRPr="006C62F8">
        <w:rPr>
          <w:sz w:val="21"/>
          <w:szCs w:val="21"/>
        </w:rPr>
        <w:t xml:space="preserve">reiteratively </w:t>
      </w:r>
      <w:r w:rsidR="00CB62E3" w:rsidRPr="006C62F8">
        <w:rPr>
          <w:sz w:val="21"/>
          <w:szCs w:val="21"/>
        </w:rPr>
        <w:t>calls on countries to</w:t>
      </w:r>
      <w:r w:rsidRPr="006C62F8">
        <w:rPr>
          <w:sz w:val="21"/>
          <w:szCs w:val="21"/>
        </w:rPr>
        <w:t xml:space="preserve"> </w:t>
      </w:r>
      <w:r>
        <w:rPr>
          <w:sz w:val="21"/>
          <w:szCs w:val="21"/>
        </w:rPr>
        <w:t>o</w:t>
      </w:r>
      <w:r w:rsidR="00CB62E3" w:rsidRPr="006C62F8">
        <w:rPr>
          <w:sz w:val="21"/>
          <w:szCs w:val="21"/>
        </w:rPr>
        <w:t xml:space="preserve">nly consider PPPs </w:t>
      </w:r>
      <w:r w:rsidR="00AD058F" w:rsidRPr="006C62F8">
        <w:rPr>
          <w:sz w:val="21"/>
          <w:szCs w:val="21"/>
        </w:rPr>
        <w:t xml:space="preserve">if their </w:t>
      </w:r>
      <w:r w:rsidR="006450A6">
        <w:rPr>
          <w:sz w:val="21"/>
          <w:szCs w:val="21"/>
        </w:rPr>
        <w:t xml:space="preserve">full </w:t>
      </w:r>
      <w:r w:rsidR="00AD058F" w:rsidRPr="006C62F8">
        <w:rPr>
          <w:sz w:val="21"/>
          <w:szCs w:val="21"/>
        </w:rPr>
        <w:t xml:space="preserve">costs and </w:t>
      </w:r>
      <w:r w:rsidR="006450A6">
        <w:rPr>
          <w:sz w:val="21"/>
          <w:szCs w:val="21"/>
        </w:rPr>
        <w:t xml:space="preserve">contingent </w:t>
      </w:r>
      <w:r w:rsidR="00AD058F" w:rsidRPr="006C62F8">
        <w:rPr>
          <w:sz w:val="21"/>
          <w:szCs w:val="21"/>
        </w:rPr>
        <w:t>liabilities are reported on</w:t>
      </w:r>
      <w:r w:rsidR="009B3E9D" w:rsidRPr="006C62F8">
        <w:rPr>
          <w:sz w:val="21"/>
          <w:szCs w:val="21"/>
        </w:rPr>
        <w:t>-</w:t>
      </w:r>
      <w:r w:rsidR="00AD058F" w:rsidRPr="006C62F8">
        <w:rPr>
          <w:sz w:val="21"/>
          <w:szCs w:val="21"/>
        </w:rPr>
        <w:t>balance she</w:t>
      </w:r>
      <w:r w:rsidR="00183E88" w:rsidRPr="006C62F8">
        <w:rPr>
          <w:sz w:val="21"/>
          <w:szCs w:val="21"/>
        </w:rPr>
        <w:t>et and registered as government</w:t>
      </w:r>
      <w:r w:rsidR="00AD058F" w:rsidRPr="006C62F8">
        <w:rPr>
          <w:sz w:val="21"/>
          <w:szCs w:val="21"/>
        </w:rPr>
        <w:t xml:space="preserve"> debt</w:t>
      </w:r>
      <w:r w:rsidR="007B5EA6" w:rsidRPr="006C62F8">
        <w:rPr>
          <w:sz w:val="21"/>
          <w:szCs w:val="21"/>
        </w:rPr>
        <w:t>, rather</w:t>
      </w:r>
      <w:r w:rsidR="00FF321E" w:rsidRPr="006C62F8">
        <w:rPr>
          <w:sz w:val="21"/>
          <w:szCs w:val="21"/>
        </w:rPr>
        <w:t xml:space="preserve"> than off-balance sheet, and </w:t>
      </w:r>
      <w:r w:rsidR="009B3E9D" w:rsidRPr="006C62F8">
        <w:rPr>
          <w:sz w:val="21"/>
          <w:szCs w:val="21"/>
        </w:rPr>
        <w:t xml:space="preserve">only after </w:t>
      </w:r>
      <w:r w:rsidR="007B5EA6" w:rsidRPr="006C62F8">
        <w:rPr>
          <w:sz w:val="21"/>
          <w:szCs w:val="21"/>
        </w:rPr>
        <w:t>a full and transparent analysis of the true costs and benefits of PPPs over the lifetime of the project</w:t>
      </w:r>
      <w:r w:rsidR="0051502F" w:rsidRPr="006C62F8">
        <w:rPr>
          <w:sz w:val="21"/>
          <w:szCs w:val="21"/>
        </w:rPr>
        <w:t>. This analysis</w:t>
      </w:r>
      <w:r w:rsidR="007B5EA6" w:rsidRPr="006C62F8">
        <w:rPr>
          <w:sz w:val="21"/>
          <w:szCs w:val="21"/>
        </w:rPr>
        <w:t xml:space="preserve"> </w:t>
      </w:r>
      <w:r w:rsidR="0051502F" w:rsidRPr="006C62F8">
        <w:rPr>
          <w:sz w:val="21"/>
          <w:szCs w:val="21"/>
        </w:rPr>
        <w:t>must take</w:t>
      </w:r>
      <w:r w:rsidR="007B5EA6" w:rsidRPr="006C62F8">
        <w:rPr>
          <w:sz w:val="21"/>
          <w:szCs w:val="21"/>
        </w:rPr>
        <w:t xml:space="preserve"> into account all the fiscal implications over the medium and long-term and the risk comparison of each option. </w:t>
      </w:r>
      <w:r w:rsidR="00AD058F" w:rsidRPr="006C62F8">
        <w:rPr>
          <w:sz w:val="21"/>
          <w:szCs w:val="21"/>
        </w:rPr>
        <w:t xml:space="preserve">   </w:t>
      </w:r>
    </w:p>
    <w:p w14:paraId="6D2FB33F" w14:textId="75454D24" w:rsidR="00AD058F" w:rsidRPr="00FC718F" w:rsidRDefault="00AD058F" w:rsidP="00AD058F">
      <w:pPr>
        <w:pStyle w:val="ListParagraph"/>
        <w:numPr>
          <w:ilvl w:val="0"/>
          <w:numId w:val="5"/>
        </w:numPr>
        <w:jc w:val="both"/>
        <w:rPr>
          <w:rFonts w:cstheme="majorHAnsi"/>
        </w:rPr>
      </w:pPr>
      <w:r w:rsidRPr="00FC718F">
        <w:rPr>
          <w:sz w:val="21"/>
          <w:szCs w:val="21"/>
        </w:rPr>
        <w:t>Only approve</w:t>
      </w:r>
      <w:r w:rsidR="006C62F8">
        <w:rPr>
          <w:sz w:val="21"/>
          <w:szCs w:val="21"/>
        </w:rPr>
        <w:t>s</w:t>
      </w:r>
      <w:r w:rsidRPr="00FC718F">
        <w:rPr>
          <w:sz w:val="21"/>
          <w:szCs w:val="21"/>
        </w:rPr>
        <w:t xml:space="preserve"> PPP projects if the partner country decides to register the costs a</w:t>
      </w:r>
      <w:r w:rsidR="007B5EA6" w:rsidRPr="00FC718F">
        <w:rPr>
          <w:sz w:val="21"/>
          <w:szCs w:val="21"/>
        </w:rPr>
        <w:t>nd liabilities on-balance sheet.</w:t>
      </w:r>
    </w:p>
    <w:p w14:paraId="59FC59AB" w14:textId="66B823EF" w:rsidR="00AD058F" w:rsidRPr="00FC718F" w:rsidRDefault="006F3653" w:rsidP="00AD058F">
      <w:pPr>
        <w:jc w:val="both"/>
        <w:rPr>
          <w:sz w:val="22"/>
          <w:szCs w:val="22"/>
        </w:rPr>
      </w:pPr>
      <w:r w:rsidRPr="00FC718F">
        <w:rPr>
          <w:sz w:val="22"/>
          <w:szCs w:val="22"/>
        </w:rPr>
        <w:t xml:space="preserve">We encourage you </w:t>
      </w:r>
      <w:r w:rsidR="00DC3991" w:rsidRPr="00FC718F">
        <w:rPr>
          <w:sz w:val="22"/>
          <w:szCs w:val="22"/>
        </w:rPr>
        <w:t xml:space="preserve">to </w:t>
      </w:r>
      <w:r w:rsidR="005938B3" w:rsidRPr="00FC718F">
        <w:rPr>
          <w:sz w:val="22"/>
          <w:szCs w:val="22"/>
        </w:rPr>
        <w:t>prioritise</w:t>
      </w:r>
      <w:r w:rsidR="00FF321E" w:rsidRPr="00FC718F">
        <w:rPr>
          <w:sz w:val="22"/>
          <w:szCs w:val="22"/>
        </w:rPr>
        <w:t xml:space="preserve"> this</w:t>
      </w:r>
      <w:r w:rsidR="00CB62E3">
        <w:rPr>
          <w:sz w:val="22"/>
          <w:szCs w:val="22"/>
        </w:rPr>
        <w:t xml:space="preserve"> </w:t>
      </w:r>
      <w:r w:rsidR="00FF321E" w:rsidRPr="00FC718F">
        <w:rPr>
          <w:sz w:val="22"/>
          <w:szCs w:val="22"/>
        </w:rPr>
        <w:t xml:space="preserve">issue and </w:t>
      </w:r>
      <w:r w:rsidR="006C62F8">
        <w:rPr>
          <w:sz w:val="22"/>
          <w:szCs w:val="22"/>
        </w:rPr>
        <w:t>give effect to our demands.</w:t>
      </w:r>
    </w:p>
    <w:p w14:paraId="4108D09C" w14:textId="77777777" w:rsidR="00AD058F" w:rsidRPr="00FC718F" w:rsidRDefault="00AD058F" w:rsidP="00AD058F">
      <w:pPr>
        <w:jc w:val="both"/>
        <w:rPr>
          <w:sz w:val="22"/>
          <w:szCs w:val="22"/>
        </w:rPr>
      </w:pPr>
    </w:p>
    <w:p w14:paraId="0A37C233" w14:textId="3E80E557" w:rsidR="00AD058F" w:rsidRPr="00FC718F" w:rsidRDefault="00DC3991" w:rsidP="00AD058F">
      <w:pPr>
        <w:jc w:val="both"/>
        <w:rPr>
          <w:sz w:val="22"/>
          <w:szCs w:val="22"/>
        </w:rPr>
      </w:pPr>
      <w:r w:rsidRPr="00FC718F">
        <w:rPr>
          <w:sz w:val="22"/>
          <w:szCs w:val="22"/>
        </w:rPr>
        <w:t xml:space="preserve">Looking </w:t>
      </w:r>
      <w:r w:rsidR="00AD058F" w:rsidRPr="00FC718F">
        <w:rPr>
          <w:sz w:val="22"/>
          <w:szCs w:val="22"/>
        </w:rPr>
        <w:t xml:space="preserve">forward to hearing from you, </w:t>
      </w:r>
    </w:p>
    <w:p w14:paraId="1821C39F" w14:textId="77777777" w:rsidR="00AD058F" w:rsidRPr="00FC718F" w:rsidRDefault="00AD058F" w:rsidP="00AD058F">
      <w:pPr>
        <w:jc w:val="both"/>
        <w:rPr>
          <w:sz w:val="22"/>
          <w:szCs w:val="22"/>
        </w:rPr>
      </w:pPr>
    </w:p>
    <w:p w14:paraId="625A5ADD" w14:textId="77777777" w:rsidR="00AD058F" w:rsidRPr="00C1774B" w:rsidRDefault="00AD058F" w:rsidP="00AD058F">
      <w:pPr>
        <w:jc w:val="both"/>
        <w:rPr>
          <w:sz w:val="22"/>
          <w:szCs w:val="22"/>
          <w:u w:val="single"/>
        </w:rPr>
      </w:pPr>
      <w:r w:rsidRPr="00C1774B">
        <w:rPr>
          <w:sz w:val="22"/>
          <w:szCs w:val="22"/>
          <w:u w:val="single"/>
        </w:rPr>
        <w:t xml:space="preserve">List of signatories:  </w:t>
      </w:r>
    </w:p>
    <w:p w14:paraId="3F5CC1A7" w14:textId="77777777" w:rsidR="00AD058F" w:rsidRPr="00FC718F" w:rsidRDefault="00AD058F" w:rsidP="00AD058F">
      <w:pPr>
        <w:jc w:val="both"/>
        <w:rPr>
          <w:sz w:val="22"/>
          <w:szCs w:val="22"/>
        </w:rPr>
      </w:pPr>
    </w:p>
    <w:p w14:paraId="32C11886" w14:textId="34D6AC37" w:rsidR="00DF373B" w:rsidRPr="00FC718F" w:rsidRDefault="00DF373B" w:rsidP="00B76C54">
      <w:pPr>
        <w:jc w:val="both"/>
        <w:rPr>
          <w:sz w:val="22"/>
          <w:szCs w:val="22"/>
        </w:rPr>
      </w:pPr>
      <w:r w:rsidRPr="00FC718F">
        <w:rPr>
          <w:sz w:val="22"/>
          <w:szCs w:val="22"/>
        </w:rPr>
        <w:t>Eurodad</w:t>
      </w:r>
    </w:p>
    <w:p w14:paraId="5C1FA706" w14:textId="77777777" w:rsidR="00BD2371" w:rsidRPr="00FC718F" w:rsidRDefault="00BD2371" w:rsidP="00B76C54">
      <w:pPr>
        <w:jc w:val="both"/>
        <w:rPr>
          <w:sz w:val="22"/>
          <w:szCs w:val="22"/>
        </w:rPr>
      </w:pPr>
    </w:p>
    <w:p w14:paraId="455766F9" w14:textId="41452D60" w:rsidR="00BD2371" w:rsidRPr="00FC718F" w:rsidRDefault="005641AF" w:rsidP="00B76C54">
      <w:pPr>
        <w:jc w:val="both"/>
        <w:rPr>
          <w:sz w:val="22"/>
          <w:szCs w:val="22"/>
        </w:rPr>
      </w:pPr>
      <w:r>
        <w:rPr>
          <w:sz w:val="22"/>
          <w:szCs w:val="22"/>
        </w:rPr>
        <w:t xml:space="preserve">Counter Balance </w:t>
      </w:r>
      <w:r>
        <w:rPr>
          <w:sz w:val="22"/>
          <w:szCs w:val="22"/>
        </w:rPr>
        <w:tab/>
      </w:r>
    </w:p>
    <w:p w14:paraId="45163779" w14:textId="77777777" w:rsidR="00BD2371" w:rsidRPr="00FC718F" w:rsidRDefault="00BD2371" w:rsidP="00B76C54">
      <w:pPr>
        <w:jc w:val="both"/>
        <w:rPr>
          <w:sz w:val="22"/>
          <w:szCs w:val="22"/>
        </w:rPr>
      </w:pPr>
    </w:p>
    <w:p w14:paraId="7EB5A612" w14:textId="32193F09" w:rsidR="00BD2371" w:rsidRDefault="005641AF" w:rsidP="00B76C54">
      <w:pPr>
        <w:jc w:val="both"/>
        <w:rPr>
          <w:sz w:val="22"/>
          <w:szCs w:val="22"/>
        </w:rPr>
      </w:pPr>
      <w:r>
        <w:rPr>
          <w:sz w:val="22"/>
          <w:szCs w:val="22"/>
        </w:rPr>
        <w:t>Public Service International (PSI)</w:t>
      </w:r>
    </w:p>
    <w:p w14:paraId="0D93FBBD" w14:textId="77777777" w:rsidR="005641AF" w:rsidRDefault="005641AF" w:rsidP="00B76C54">
      <w:pPr>
        <w:jc w:val="both"/>
        <w:rPr>
          <w:sz w:val="22"/>
          <w:szCs w:val="22"/>
        </w:rPr>
      </w:pPr>
    </w:p>
    <w:p w14:paraId="1F778923" w14:textId="74F50AA7" w:rsidR="005641AF" w:rsidRDefault="005641AF" w:rsidP="00B76C54">
      <w:pPr>
        <w:jc w:val="both"/>
        <w:rPr>
          <w:sz w:val="22"/>
          <w:szCs w:val="22"/>
        </w:rPr>
      </w:pPr>
      <w:r>
        <w:rPr>
          <w:sz w:val="22"/>
          <w:szCs w:val="22"/>
        </w:rPr>
        <w:t>Bretton Woods Project</w:t>
      </w:r>
    </w:p>
    <w:p w14:paraId="76F6CBCA" w14:textId="77777777" w:rsidR="005641AF" w:rsidRDefault="005641AF" w:rsidP="00B76C54">
      <w:pPr>
        <w:jc w:val="both"/>
        <w:rPr>
          <w:sz w:val="22"/>
          <w:szCs w:val="22"/>
        </w:rPr>
      </w:pPr>
    </w:p>
    <w:p w14:paraId="77A695B0" w14:textId="6555C2E6" w:rsidR="005641AF" w:rsidRDefault="005641AF" w:rsidP="00B76C54">
      <w:pPr>
        <w:jc w:val="both"/>
        <w:rPr>
          <w:sz w:val="22"/>
          <w:szCs w:val="22"/>
        </w:rPr>
      </w:pPr>
      <w:r>
        <w:rPr>
          <w:sz w:val="22"/>
          <w:szCs w:val="22"/>
        </w:rPr>
        <w:t>UNISON</w:t>
      </w:r>
    </w:p>
    <w:p w14:paraId="4CC965DE" w14:textId="77777777" w:rsidR="005641AF" w:rsidRDefault="005641AF" w:rsidP="00B76C54">
      <w:pPr>
        <w:jc w:val="both"/>
        <w:rPr>
          <w:sz w:val="22"/>
          <w:szCs w:val="22"/>
        </w:rPr>
      </w:pPr>
    </w:p>
    <w:p w14:paraId="2622D5D0" w14:textId="65F99702" w:rsidR="005641AF" w:rsidRDefault="005641AF" w:rsidP="00B76C54">
      <w:pPr>
        <w:jc w:val="both"/>
        <w:rPr>
          <w:sz w:val="22"/>
          <w:szCs w:val="22"/>
        </w:rPr>
      </w:pPr>
      <w:r w:rsidRPr="005641AF">
        <w:rPr>
          <w:sz w:val="22"/>
          <w:szCs w:val="22"/>
        </w:rPr>
        <w:t>Fundación Manatí para el Fomento de la Ciudadanía A.C</w:t>
      </w:r>
    </w:p>
    <w:p w14:paraId="0CBBC76B" w14:textId="77777777" w:rsidR="005641AF" w:rsidRDefault="005641AF" w:rsidP="00B76C54">
      <w:pPr>
        <w:jc w:val="both"/>
        <w:rPr>
          <w:sz w:val="22"/>
          <w:szCs w:val="22"/>
        </w:rPr>
      </w:pPr>
    </w:p>
    <w:p w14:paraId="1ADE0600" w14:textId="30C2B995" w:rsidR="005641AF" w:rsidRDefault="005641AF" w:rsidP="00B76C54">
      <w:pPr>
        <w:jc w:val="both"/>
      </w:pPr>
      <w:r w:rsidRPr="005641AF">
        <w:rPr>
          <w:sz w:val="22"/>
          <w:szCs w:val="22"/>
        </w:rPr>
        <w:t>Society for International Development (SID)</w:t>
      </w:r>
      <w:r w:rsidRPr="005641AF">
        <w:t> </w:t>
      </w:r>
    </w:p>
    <w:p w14:paraId="5CE9873A" w14:textId="77777777" w:rsidR="005641AF" w:rsidRDefault="005641AF" w:rsidP="00B76C54">
      <w:pPr>
        <w:jc w:val="both"/>
      </w:pPr>
    </w:p>
    <w:p w14:paraId="174D3233" w14:textId="77777777" w:rsidR="005641AF" w:rsidRPr="005641AF" w:rsidRDefault="005641AF" w:rsidP="005641AF">
      <w:pPr>
        <w:jc w:val="both"/>
        <w:rPr>
          <w:sz w:val="22"/>
          <w:szCs w:val="22"/>
        </w:rPr>
      </w:pPr>
      <w:r w:rsidRPr="005641AF">
        <w:rPr>
          <w:sz w:val="22"/>
          <w:szCs w:val="22"/>
        </w:rPr>
        <w:t>Centre for Human Rights and Climate Change Research.</w:t>
      </w:r>
    </w:p>
    <w:p w14:paraId="05F5B682" w14:textId="77777777" w:rsidR="005641AF" w:rsidRPr="00EE1E9E" w:rsidRDefault="005641AF" w:rsidP="00B76C54">
      <w:pPr>
        <w:jc w:val="both"/>
        <w:rPr>
          <w:sz w:val="22"/>
          <w:szCs w:val="22"/>
        </w:rPr>
      </w:pPr>
    </w:p>
    <w:p w14:paraId="41EC03D2" w14:textId="16AF27C9" w:rsidR="00EE1E9E" w:rsidRPr="00EE1E9E" w:rsidRDefault="00EE1E9E" w:rsidP="00B76C54">
      <w:pPr>
        <w:jc w:val="both"/>
        <w:rPr>
          <w:sz w:val="22"/>
          <w:szCs w:val="22"/>
        </w:rPr>
      </w:pPr>
      <w:r w:rsidRPr="00EE1E9E">
        <w:rPr>
          <w:sz w:val="22"/>
          <w:szCs w:val="22"/>
        </w:rPr>
        <w:t>11.11.11- Coalition of the Flemish North-South Movement</w:t>
      </w:r>
    </w:p>
    <w:p w14:paraId="6541AAD9" w14:textId="77777777" w:rsidR="005641AF" w:rsidRDefault="005641AF" w:rsidP="00B76C54">
      <w:pPr>
        <w:jc w:val="both"/>
        <w:rPr>
          <w:sz w:val="22"/>
          <w:szCs w:val="22"/>
        </w:rPr>
      </w:pPr>
    </w:p>
    <w:p w14:paraId="497B87F2" w14:textId="4D326A9B" w:rsidR="00EE1E9E" w:rsidRDefault="000A7BAF" w:rsidP="00B76C54">
      <w:pPr>
        <w:jc w:val="both"/>
        <w:rPr>
          <w:sz w:val="22"/>
          <w:szCs w:val="22"/>
        </w:rPr>
      </w:pPr>
      <w:r>
        <w:rPr>
          <w:sz w:val="22"/>
          <w:szCs w:val="22"/>
        </w:rPr>
        <w:t xml:space="preserve">Jubilee Debt Campaign </w:t>
      </w:r>
    </w:p>
    <w:p w14:paraId="22309FBE" w14:textId="77777777" w:rsidR="000A7BAF" w:rsidRDefault="000A7BAF" w:rsidP="00B76C54">
      <w:pPr>
        <w:jc w:val="both"/>
        <w:rPr>
          <w:sz w:val="22"/>
          <w:szCs w:val="22"/>
        </w:rPr>
      </w:pPr>
    </w:p>
    <w:p w14:paraId="3E6CF0EC" w14:textId="4E93DCF4" w:rsidR="000A7BAF" w:rsidRDefault="000A7BAF" w:rsidP="00B76C54">
      <w:pPr>
        <w:jc w:val="both"/>
        <w:rPr>
          <w:sz w:val="22"/>
          <w:szCs w:val="22"/>
        </w:rPr>
      </w:pPr>
      <w:r>
        <w:rPr>
          <w:sz w:val="22"/>
          <w:szCs w:val="22"/>
        </w:rPr>
        <w:t>Kenya Debt Relief Network (KENDREN)</w:t>
      </w:r>
    </w:p>
    <w:p w14:paraId="25E7F44C" w14:textId="77777777" w:rsidR="000A7BAF" w:rsidRDefault="000A7BAF" w:rsidP="00B76C54">
      <w:pPr>
        <w:jc w:val="both"/>
        <w:rPr>
          <w:sz w:val="22"/>
          <w:szCs w:val="22"/>
        </w:rPr>
      </w:pPr>
    </w:p>
    <w:p w14:paraId="19905236" w14:textId="3779B9E1" w:rsidR="000A7BAF" w:rsidRDefault="000A7BAF" w:rsidP="00B76C54">
      <w:pPr>
        <w:jc w:val="both"/>
      </w:pPr>
      <w:r w:rsidRPr="000A7BAF">
        <w:rPr>
          <w:sz w:val="22"/>
          <w:szCs w:val="22"/>
        </w:rPr>
        <w:t>CNCD-11.11.11</w:t>
      </w:r>
      <w:r w:rsidRPr="000A7BAF">
        <w:t> </w:t>
      </w:r>
    </w:p>
    <w:p w14:paraId="2515B134" w14:textId="77777777" w:rsidR="001F2C2F" w:rsidRPr="001F2C2F" w:rsidRDefault="001F2C2F" w:rsidP="00B76C54">
      <w:pPr>
        <w:jc w:val="both"/>
        <w:rPr>
          <w:sz w:val="22"/>
          <w:szCs w:val="22"/>
        </w:rPr>
      </w:pPr>
    </w:p>
    <w:p w14:paraId="4C3BCE4A" w14:textId="1F11FCA9" w:rsidR="001F2C2F" w:rsidRDefault="001F2C2F" w:rsidP="00B76C54">
      <w:pPr>
        <w:jc w:val="both"/>
        <w:rPr>
          <w:sz w:val="22"/>
          <w:szCs w:val="22"/>
        </w:rPr>
      </w:pPr>
      <w:r w:rsidRPr="001F2C2F">
        <w:rPr>
          <w:sz w:val="22"/>
          <w:szCs w:val="22"/>
        </w:rPr>
        <w:t>WEED - World Economy, Ecology &amp; Development</w:t>
      </w:r>
    </w:p>
    <w:p w14:paraId="6DABAC32" w14:textId="77777777" w:rsidR="00691CDF" w:rsidRDefault="00691CDF" w:rsidP="00B76C54">
      <w:pPr>
        <w:jc w:val="both"/>
        <w:rPr>
          <w:sz w:val="22"/>
          <w:szCs w:val="22"/>
        </w:rPr>
      </w:pPr>
    </w:p>
    <w:p w14:paraId="28886B2C" w14:textId="6502E7B8" w:rsidR="00691CDF" w:rsidRDefault="00691CDF" w:rsidP="00B76C54">
      <w:pPr>
        <w:jc w:val="both"/>
        <w:rPr>
          <w:sz w:val="22"/>
          <w:szCs w:val="22"/>
        </w:rPr>
      </w:pPr>
      <w:r w:rsidRPr="00691CDF">
        <w:rPr>
          <w:sz w:val="22"/>
          <w:szCs w:val="22"/>
        </w:rPr>
        <w:t xml:space="preserve">Erlassjahr.de - </w:t>
      </w:r>
      <w:bookmarkStart w:id="0" w:name="_GoBack"/>
      <w:bookmarkEnd w:id="0"/>
      <w:r w:rsidRPr="00691CDF">
        <w:rPr>
          <w:sz w:val="22"/>
          <w:szCs w:val="22"/>
        </w:rPr>
        <w:t>Entwicklung braucht Entschuldung e.V</w:t>
      </w:r>
    </w:p>
    <w:p w14:paraId="3FF7402C" w14:textId="77777777" w:rsidR="00691CDF" w:rsidRDefault="00691CDF" w:rsidP="00B76C54">
      <w:pPr>
        <w:jc w:val="both"/>
        <w:rPr>
          <w:sz w:val="22"/>
          <w:szCs w:val="22"/>
        </w:rPr>
      </w:pPr>
    </w:p>
    <w:p w14:paraId="0B65AF81" w14:textId="77777777" w:rsidR="00691CDF" w:rsidRPr="00691CDF" w:rsidRDefault="00691CDF" w:rsidP="00B76C54">
      <w:pPr>
        <w:jc w:val="both"/>
        <w:rPr>
          <w:sz w:val="22"/>
          <w:szCs w:val="22"/>
        </w:rPr>
      </w:pPr>
    </w:p>
    <w:p w14:paraId="33230BE8" w14:textId="77777777" w:rsidR="005641AF" w:rsidRPr="00691CDF" w:rsidRDefault="005641AF" w:rsidP="00B76C54">
      <w:pPr>
        <w:jc w:val="both"/>
        <w:rPr>
          <w:sz w:val="22"/>
          <w:szCs w:val="22"/>
          <w:lang w:val="nl-BE"/>
        </w:rPr>
      </w:pPr>
    </w:p>
    <w:p w14:paraId="085B5003" w14:textId="77777777" w:rsidR="005641AF" w:rsidRPr="00691CDF" w:rsidRDefault="005641AF" w:rsidP="00B76C54">
      <w:pPr>
        <w:jc w:val="both"/>
        <w:rPr>
          <w:sz w:val="22"/>
          <w:szCs w:val="22"/>
          <w:lang w:val="nl-BE"/>
        </w:rPr>
      </w:pPr>
    </w:p>
    <w:p w14:paraId="19B0EA91" w14:textId="77777777" w:rsidR="00BD2371" w:rsidRPr="00691CDF" w:rsidRDefault="00BD2371" w:rsidP="00B76C54">
      <w:pPr>
        <w:jc w:val="both"/>
        <w:rPr>
          <w:sz w:val="22"/>
          <w:szCs w:val="22"/>
          <w:lang w:val="nl-BE"/>
        </w:rPr>
      </w:pPr>
    </w:p>
    <w:p w14:paraId="7135A6DE" w14:textId="77777777" w:rsidR="00BD2371" w:rsidRPr="00691CDF" w:rsidRDefault="00BD2371" w:rsidP="00B76C54">
      <w:pPr>
        <w:jc w:val="both"/>
        <w:rPr>
          <w:sz w:val="22"/>
          <w:szCs w:val="22"/>
          <w:lang w:val="nl-BE"/>
        </w:rPr>
      </w:pPr>
    </w:p>
    <w:p w14:paraId="61075F12" w14:textId="77777777" w:rsidR="00B76C54" w:rsidRPr="00691CDF" w:rsidRDefault="00247EDC" w:rsidP="00B76C54">
      <w:pPr>
        <w:jc w:val="both"/>
        <w:rPr>
          <w:rFonts w:asciiTheme="majorHAnsi" w:hAnsiTheme="majorHAnsi"/>
          <w:lang w:val="nl-BE"/>
        </w:rPr>
      </w:pPr>
      <w:r w:rsidRPr="00691CDF">
        <w:rPr>
          <w:sz w:val="22"/>
          <w:szCs w:val="22"/>
          <w:lang w:val="nl-BE"/>
        </w:rPr>
        <w:t xml:space="preserve"> </w:t>
      </w:r>
      <w:r w:rsidR="00B76C54" w:rsidRPr="00691CDF">
        <w:rPr>
          <w:sz w:val="22"/>
          <w:szCs w:val="22"/>
          <w:lang w:val="nl-BE"/>
        </w:rPr>
        <w:br/>
      </w:r>
    </w:p>
    <w:sectPr w:rsidR="00B76C54" w:rsidRPr="00691CDF" w:rsidSect="00A72EA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B1FF" w14:textId="77777777" w:rsidR="00520579" w:rsidRDefault="00520579" w:rsidP="00F72984">
      <w:r>
        <w:separator/>
      </w:r>
    </w:p>
  </w:endnote>
  <w:endnote w:type="continuationSeparator" w:id="0">
    <w:p w14:paraId="17C76CE1" w14:textId="77777777" w:rsidR="00520579" w:rsidRDefault="00520579" w:rsidP="00F7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5C00" w14:textId="77777777" w:rsidR="00520579" w:rsidRDefault="00520579" w:rsidP="00F72984">
      <w:r>
        <w:separator/>
      </w:r>
    </w:p>
  </w:footnote>
  <w:footnote w:type="continuationSeparator" w:id="0">
    <w:p w14:paraId="151A4439" w14:textId="77777777" w:rsidR="00520579" w:rsidRDefault="00520579" w:rsidP="00F72984">
      <w:r>
        <w:continuationSeparator/>
      </w:r>
    </w:p>
  </w:footnote>
  <w:footnote w:id="1">
    <w:p w14:paraId="2A236571" w14:textId="77777777" w:rsidR="00FC718F" w:rsidRPr="002862FB" w:rsidRDefault="00FC718F" w:rsidP="00C75113">
      <w:pPr>
        <w:pStyle w:val="FootnoteText"/>
        <w:jc w:val="left"/>
        <w:rPr>
          <w:lang w:val="en-US"/>
        </w:rPr>
      </w:pPr>
      <w:r>
        <w:rPr>
          <w:rStyle w:val="FootnoteReference"/>
        </w:rPr>
        <w:footnoteRef/>
      </w:r>
      <w:r>
        <w:t xml:space="preserve"> EIB. (2016). Guide to the statistical treatment of PPPs. See: </w:t>
      </w:r>
      <w:r w:rsidRPr="002862FB">
        <w:t>http://www.eib.org/epec/resources/publications/epec_eurostat_guide_ppp</w:t>
      </w:r>
    </w:p>
  </w:footnote>
  <w:footnote w:id="2">
    <w:p w14:paraId="2AF77519" w14:textId="77777777" w:rsidR="00FC718F" w:rsidRPr="006C2432" w:rsidRDefault="00FC718F" w:rsidP="00C75113">
      <w:pPr>
        <w:pStyle w:val="FootnoteText"/>
        <w:jc w:val="left"/>
        <w:rPr>
          <w:lang w:val="en-US"/>
        </w:rPr>
      </w:pPr>
      <w:r>
        <w:rPr>
          <w:rStyle w:val="FootnoteReference"/>
        </w:rPr>
        <w:footnoteRef/>
      </w:r>
      <w:r>
        <w:t xml:space="preserve"> Jin, R. and Rial, I. (2016). Regulating Local Government Financing Vehicles and Public-Private Partnerships in China. </w:t>
      </w:r>
      <w:r w:rsidRPr="006C2432">
        <w:rPr>
          <w:lang w:val="en-US"/>
        </w:rPr>
        <w:t>IMF. See: https://www.imf.org/external/pubs/ft/wp/2016/wp16187.pdf</w:t>
      </w:r>
    </w:p>
  </w:footnote>
  <w:footnote w:id="3">
    <w:p w14:paraId="7253F9C6" w14:textId="77777777" w:rsidR="00FC718F" w:rsidRPr="00AE5AE0" w:rsidRDefault="00FC718F" w:rsidP="00C75113">
      <w:pPr>
        <w:pStyle w:val="FootnoteText"/>
        <w:jc w:val="left"/>
      </w:pPr>
      <w:r>
        <w:rPr>
          <w:rStyle w:val="FootnoteReference"/>
        </w:rPr>
        <w:footnoteRef/>
      </w:r>
      <w:r>
        <w:t xml:space="preserve"> Romero, M. (2015). What lies beneath? A critical assessment of PPPs and their impact on sustainable development. Eurodad. See: </w:t>
      </w:r>
      <w:r w:rsidRPr="00AE5AE0">
        <w:t>http://eurodad.org/files/pdf/559e6c832c087.pdf</w:t>
      </w:r>
    </w:p>
  </w:footnote>
  <w:footnote w:id="4">
    <w:p w14:paraId="1AA21BE4" w14:textId="77777777" w:rsidR="00FC718F" w:rsidRPr="00F5271C" w:rsidRDefault="00FC718F" w:rsidP="00C75113">
      <w:pPr>
        <w:pStyle w:val="FootnoteText"/>
        <w:jc w:val="left"/>
      </w:pPr>
      <w:r w:rsidRPr="00F5271C">
        <w:rPr>
          <w:rStyle w:val="FootnoteReference"/>
        </w:rPr>
        <w:footnoteRef/>
      </w:r>
      <w:r>
        <w:t xml:space="preserve"> Anaba, B. and Clifton, S-J. 11 November 2015. </w:t>
      </w:r>
      <w:r w:rsidRPr="00F5271C">
        <w:t>Proof is piling up that private sector finance is not an easy development fix</w:t>
      </w:r>
      <w:r>
        <w:t xml:space="preserve">. The Guardian. See: </w:t>
      </w:r>
    </w:p>
    <w:p w14:paraId="5814B026" w14:textId="77777777" w:rsidR="00FC718F" w:rsidRPr="00AE5AE0" w:rsidRDefault="00FC718F" w:rsidP="00C75113">
      <w:pPr>
        <w:pStyle w:val="FootnoteText"/>
        <w:jc w:val="left"/>
      </w:pPr>
      <w:r>
        <w:t xml:space="preserve"> </w:t>
      </w:r>
      <w:r w:rsidRPr="00AE5AE0">
        <w:t>http://www.theguardian.com/global-development/2015/nov/11/private-sector-finance-not-easy-development-fix-public-private-partnerships?CMP=twt_gu?CMP=twt_gu</w:t>
      </w:r>
    </w:p>
  </w:footnote>
  <w:footnote w:id="5">
    <w:p w14:paraId="2CB69618" w14:textId="77777777" w:rsidR="00FC718F" w:rsidRPr="00121C85" w:rsidRDefault="00FC718F" w:rsidP="00C75113">
      <w:pPr>
        <w:pStyle w:val="FootnoteText"/>
        <w:jc w:val="left"/>
        <w:rPr>
          <w:lang w:val="en-US"/>
        </w:rPr>
      </w:pPr>
      <w:r>
        <w:rPr>
          <w:rStyle w:val="FootnoteReference"/>
        </w:rPr>
        <w:footnoteRef/>
      </w:r>
      <w:r>
        <w:t xml:space="preserve"> Aslan, C. (2014). How Do Countries Measure, Manage and Monitor Fiscal Risks Generated by Public Private Partnerships? Chile, Peru, South Africa, Turkey. World Bank. See: http://www. worldbank.org/content/dam/Worldbank/document/ Debt/Presentation%20Cigdem%20New%20Avenues.pdf</w:t>
      </w:r>
    </w:p>
  </w:footnote>
  <w:footnote w:id="6">
    <w:p w14:paraId="73A8ECF5" w14:textId="77777777" w:rsidR="00FC718F" w:rsidRPr="00A645C5" w:rsidRDefault="00FC718F" w:rsidP="00C75113">
      <w:pPr>
        <w:pStyle w:val="FootnoteText"/>
        <w:jc w:val="left"/>
        <w:rPr>
          <w:lang w:val="en-US"/>
        </w:rPr>
      </w:pPr>
      <w:r>
        <w:rPr>
          <w:rStyle w:val="FootnoteReference"/>
        </w:rPr>
        <w:footnoteRef/>
      </w:r>
      <w:r>
        <w:t xml:space="preserve"> Oxfam (2014). A dangerous diversion. See: </w:t>
      </w:r>
      <w:r w:rsidRPr="00A645C5">
        <w:t>https://www.oxfam.org/sites/www.oxfam.org/files/bn-dangerous-diversion-lesotho-health-ppp-070414-en.pdf</w:t>
      </w:r>
    </w:p>
  </w:footnote>
  <w:footnote w:id="7">
    <w:p w14:paraId="3154C5B8" w14:textId="5079F888" w:rsidR="00C75113" w:rsidRPr="00C75113" w:rsidRDefault="00C75113">
      <w:pPr>
        <w:pStyle w:val="FootnoteText"/>
        <w:rPr>
          <w:lang w:val="en-US"/>
        </w:rPr>
      </w:pPr>
      <w:r>
        <w:rPr>
          <w:rStyle w:val="FootnoteReference"/>
        </w:rPr>
        <w:footnoteRef/>
      </w:r>
      <w:r>
        <w:t xml:space="preserve"> </w:t>
      </w:r>
      <w:r w:rsidRPr="00C75113">
        <w:rPr>
          <w:lang w:val="en-US"/>
        </w:rPr>
        <w:t>See page 14 in the draft report on Recommended PPP Contra</w:t>
      </w:r>
      <w:r>
        <w:rPr>
          <w:lang w:val="en-US"/>
        </w:rPr>
        <w:t>ctual Provisions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242A"/>
    <w:multiLevelType w:val="hybridMultilevel"/>
    <w:tmpl w:val="560A3A50"/>
    <w:lvl w:ilvl="0" w:tplc="A582ECE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8B4A5C"/>
    <w:multiLevelType w:val="hybridMultilevel"/>
    <w:tmpl w:val="61E2875E"/>
    <w:lvl w:ilvl="0" w:tplc="C88673AE">
      <w:numFmt w:val="bullet"/>
      <w:lvlText w:val="-"/>
      <w:lvlJc w:val="left"/>
      <w:pPr>
        <w:ind w:left="720" w:hanging="360"/>
      </w:pPr>
      <w:rPr>
        <w:rFonts w:ascii="Cambria" w:eastAsiaTheme="minorEastAsia" w:hAnsi="Cambria"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684494"/>
    <w:multiLevelType w:val="hybridMultilevel"/>
    <w:tmpl w:val="1AEE8164"/>
    <w:lvl w:ilvl="0" w:tplc="5CB62D9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A05170"/>
    <w:multiLevelType w:val="hybridMultilevel"/>
    <w:tmpl w:val="F7426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30BB8"/>
    <w:multiLevelType w:val="hybridMultilevel"/>
    <w:tmpl w:val="EFCAD3FC"/>
    <w:lvl w:ilvl="0" w:tplc="46C431FC">
      <w:start w:val="2"/>
      <w:numFmt w:val="bullet"/>
      <w:lvlText w:val="-"/>
      <w:lvlJc w:val="left"/>
      <w:pPr>
        <w:ind w:left="720" w:hanging="360"/>
      </w:pPr>
      <w:rPr>
        <w:rFonts w:ascii="Cambria" w:eastAsiaTheme="minorEastAsia" w:hAnsi="Cambria" w:cstheme="minorBidi" w:hint="default"/>
        <w:sz w:val="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28780F"/>
    <w:multiLevelType w:val="hybridMultilevel"/>
    <w:tmpl w:val="4B28A612"/>
    <w:lvl w:ilvl="0" w:tplc="C4546C7A">
      <w:numFmt w:val="bullet"/>
      <w:lvlText w:val="-"/>
      <w:lvlJc w:val="left"/>
      <w:pPr>
        <w:ind w:left="266" w:hanging="360"/>
      </w:pPr>
      <w:rPr>
        <w:rFonts w:ascii="Calibri" w:eastAsiaTheme="minorHAnsi" w:hAnsi="Calibri" w:cstheme="minorBidi"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54"/>
    <w:rsid w:val="00050DD3"/>
    <w:rsid w:val="00096857"/>
    <w:rsid w:val="000A7BAF"/>
    <w:rsid w:val="000F1BED"/>
    <w:rsid w:val="00111763"/>
    <w:rsid w:val="00147631"/>
    <w:rsid w:val="00147F83"/>
    <w:rsid w:val="00183E88"/>
    <w:rsid w:val="001C2B05"/>
    <w:rsid w:val="001E5FC1"/>
    <w:rsid w:val="001F2C2F"/>
    <w:rsid w:val="00247EDC"/>
    <w:rsid w:val="00253BDA"/>
    <w:rsid w:val="0026489D"/>
    <w:rsid w:val="002A1E21"/>
    <w:rsid w:val="002B3BE1"/>
    <w:rsid w:val="002C114A"/>
    <w:rsid w:val="002E4AEF"/>
    <w:rsid w:val="0030350F"/>
    <w:rsid w:val="00313CB8"/>
    <w:rsid w:val="003641F4"/>
    <w:rsid w:val="00375B64"/>
    <w:rsid w:val="00383F00"/>
    <w:rsid w:val="00394DD7"/>
    <w:rsid w:val="003D0FE4"/>
    <w:rsid w:val="00410F48"/>
    <w:rsid w:val="0041297F"/>
    <w:rsid w:val="004140E9"/>
    <w:rsid w:val="00433CEC"/>
    <w:rsid w:val="00461E3E"/>
    <w:rsid w:val="00463827"/>
    <w:rsid w:val="00474922"/>
    <w:rsid w:val="00485A3D"/>
    <w:rsid w:val="004869DE"/>
    <w:rsid w:val="004B675D"/>
    <w:rsid w:val="004C4AA8"/>
    <w:rsid w:val="004E2C35"/>
    <w:rsid w:val="004F2588"/>
    <w:rsid w:val="0051502F"/>
    <w:rsid w:val="00520325"/>
    <w:rsid w:val="00520579"/>
    <w:rsid w:val="005306BD"/>
    <w:rsid w:val="00532E20"/>
    <w:rsid w:val="0056381B"/>
    <w:rsid w:val="005641AF"/>
    <w:rsid w:val="00570A4B"/>
    <w:rsid w:val="005742ED"/>
    <w:rsid w:val="005938B3"/>
    <w:rsid w:val="00595281"/>
    <w:rsid w:val="005C5A87"/>
    <w:rsid w:val="005D052C"/>
    <w:rsid w:val="005D15D0"/>
    <w:rsid w:val="005D7629"/>
    <w:rsid w:val="005E519F"/>
    <w:rsid w:val="005F3429"/>
    <w:rsid w:val="00601741"/>
    <w:rsid w:val="006450A6"/>
    <w:rsid w:val="00673CDD"/>
    <w:rsid w:val="00691CDF"/>
    <w:rsid w:val="00696BA4"/>
    <w:rsid w:val="006A3FB6"/>
    <w:rsid w:val="006A7CE8"/>
    <w:rsid w:val="006C62F8"/>
    <w:rsid w:val="006F3653"/>
    <w:rsid w:val="006F5713"/>
    <w:rsid w:val="007070FC"/>
    <w:rsid w:val="00715510"/>
    <w:rsid w:val="00740DCE"/>
    <w:rsid w:val="00777E6D"/>
    <w:rsid w:val="00785A8A"/>
    <w:rsid w:val="007A22A7"/>
    <w:rsid w:val="007A36A8"/>
    <w:rsid w:val="007B5EA6"/>
    <w:rsid w:val="007C7997"/>
    <w:rsid w:val="00802857"/>
    <w:rsid w:val="0085255D"/>
    <w:rsid w:val="00875ABC"/>
    <w:rsid w:val="00882754"/>
    <w:rsid w:val="008B4B1C"/>
    <w:rsid w:val="008C6255"/>
    <w:rsid w:val="008C63BE"/>
    <w:rsid w:val="008E410A"/>
    <w:rsid w:val="00924F0E"/>
    <w:rsid w:val="00970BDA"/>
    <w:rsid w:val="009A08A0"/>
    <w:rsid w:val="009B3E9D"/>
    <w:rsid w:val="009D2AF3"/>
    <w:rsid w:val="009E1B46"/>
    <w:rsid w:val="00A20502"/>
    <w:rsid w:val="00A47111"/>
    <w:rsid w:val="00A72EAA"/>
    <w:rsid w:val="00A77F1B"/>
    <w:rsid w:val="00AD058F"/>
    <w:rsid w:val="00AE7A85"/>
    <w:rsid w:val="00B22CFF"/>
    <w:rsid w:val="00B52806"/>
    <w:rsid w:val="00B62901"/>
    <w:rsid w:val="00B76C54"/>
    <w:rsid w:val="00B8328C"/>
    <w:rsid w:val="00BC1D2D"/>
    <w:rsid w:val="00BD2371"/>
    <w:rsid w:val="00C1774B"/>
    <w:rsid w:val="00C273A8"/>
    <w:rsid w:val="00C42F3A"/>
    <w:rsid w:val="00C4416A"/>
    <w:rsid w:val="00C63C9C"/>
    <w:rsid w:val="00C75113"/>
    <w:rsid w:val="00CA314A"/>
    <w:rsid w:val="00CB62E3"/>
    <w:rsid w:val="00CD09B5"/>
    <w:rsid w:val="00CD43DB"/>
    <w:rsid w:val="00D01CC4"/>
    <w:rsid w:val="00D2649B"/>
    <w:rsid w:val="00D82F11"/>
    <w:rsid w:val="00DC2F0F"/>
    <w:rsid w:val="00DC3991"/>
    <w:rsid w:val="00DC4217"/>
    <w:rsid w:val="00DC58F9"/>
    <w:rsid w:val="00DD1640"/>
    <w:rsid w:val="00DD2437"/>
    <w:rsid w:val="00DE0727"/>
    <w:rsid w:val="00DF373B"/>
    <w:rsid w:val="00E43904"/>
    <w:rsid w:val="00E56CD8"/>
    <w:rsid w:val="00E63D02"/>
    <w:rsid w:val="00E732B9"/>
    <w:rsid w:val="00EE1E9E"/>
    <w:rsid w:val="00F16528"/>
    <w:rsid w:val="00F16749"/>
    <w:rsid w:val="00F72984"/>
    <w:rsid w:val="00F873D6"/>
    <w:rsid w:val="00FB5457"/>
    <w:rsid w:val="00FC718F"/>
    <w:rsid w:val="00FF321E"/>
    <w:rsid w:val="00FF7D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CF23C"/>
  <w14:defaultImageDpi w14:val="300"/>
  <w15:docId w15:val="{B94E55A3-4CF9-459E-BA13-0BBFF596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D82F11"/>
    <w:pPr>
      <w:spacing w:before="100" w:beforeAutospacing="1" w:after="100" w:afterAutospacing="1"/>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BDA"/>
    <w:rPr>
      <w:color w:val="0000FF" w:themeColor="hyperlink"/>
      <w:u w:val="single"/>
    </w:rPr>
  </w:style>
  <w:style w:type="paragraph" w:styleId="BalloonText">
    <w:name w:val="Balloon Text"/>
    <w:basedOn w:val="Normal"/>
    <w:link w:val="BalloonTextChar"/>
    <w:uiPriority w:val="99"/>
    <w:semiHidden/>
    <w:unhideWhenUsed/>
    <w:rsid w:val="008C6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BE"/>
    <w:rPr>
      <w:rFonts w:ascii="Segoe UI" w:hAnsi="Segoe UI" w:cs="Segoe UI"/>
      <w:sz w:val="18"/>
      <w:szCs w:val="18"/>
    </w:rPr>
  </w:style>
  <w:style w:type="character" w:customStyle="1" w:styleId="Heading1Char">
    <w:name w:val="Heading 1 Char"/>
    <w:basedOn w:val="DefaultParagraphFont"/>
    <w:link w:val="Heading1"/>
    <w:uiPriority w:val="9"/>
    <w:rsid w:val="00D82F11"/>
    <w:rPr>
      <w:rFonts w:ascii="Times New Roman" w:eastAsia="Times New Roman" w:hAnsi="Times New Roman" w:cs="Times New Roman"/>
      <w:b/>
      <w:bCs/>
      <w:kern w:val="36"/>
      <w:sz w:val="48"/>
      <w:szCs w:val="48"/>
      <w:lang w:val="nl-BE" w:eastAsia="nl-BE"/>
    </w:rPr>
  </w:style>
  <w:style w:type="character" w:customStyle="1" w:styleId="apple-converted-space">
    <w:name w:val="apple-converted-space"/>
    <w:basedOn w:val="DefaultParagraphFont"/>
    <w:rsid w:val="00D82F11"/>
  </w:style>
  <w:style w:type="paragraph" w:styleId="ListParagraph">
    <w:name w:val="List Paragraph"/>
    <w:basedOn w:val="Normal"/>
    <w:uiPriority w:val="34"/>
    <w:qFormat/>
    <w:rsid w:val="005F3429"/>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F72984"/>
    <w:pPr>
      <w:jc w:val="both"/>
    </w:pPr>
    <w:rPr>
      <w:rFonts w:eastAsiaTheme="minorHAnsi"/>
      <w:sz w:val="20"/>
      <w:szCs w:val="20"/>
    </w:rPr>
  </w:style>
  <w:style w:type="character" w:customStyle="1" w:styleId="FootnoteTextChar">
    <w:name w:val="Footnote Text Char"/>
    <w:basedOn w:val="DefaultParagraphFont"/>
    <w:link w:val="FootnoteText"/>
    <w:uiPriority w:val="99"/>
    <w:rsid w:val="00F72984"/>
    <w:rPr>
      <w:rFonts w:eastAsiaTheme="minorHAnsi"/>
      <w:sz w:val="20"/>
      <w:szCs w:val="20"/>
      <w:lang w:val="en-GB"/>
    </w:rPr>
  </w:style>
  <w:style w:type="character" w:styleId="FootnoteReference">
    <w:name w:val="footnote reference"/>
    <w:basedOn w:val="DefaultParagraphFont"/>
    <w:uiPriority w:val="99"/>
    <w:semiHidden/>
    <w:unhideWhenUsed/>
    <w:rsid w:val="00F72984"/>
    <w:rPr>
      <w:vertAlign w:val="superscript"/>
    </w:rPr>
  </w:style>
  <w:style w:type="paragraph" w:styleId="NormalWeb">
    <w:name w:val="Normal (Web)"/>
    <w:basedOn w:val="Normal"/>
    <w:uiPriority w:val="99"/>
    <w:unhideWhenUsed/>
    <w:rsid w:val="00F72984"/>
    <w:pPr>
      <w:spacing w:before="100" w:beforeAutospacing="1" w:after="100" w:afterAutospacing="1"/>
    </w:pPr>
    <w:rPr>
      <w:rFonts w:ascii="Times New Roman" w:eastAsia="Times New Roman" w:hAnsi="Times New Roman" w:cs="Times New Roman"/>
      <w:lang w:val="nl-BE" w:eastAsia="nl-BE"/>
    </w:rPr>
  </w:style>
  <w:style w:type="character" w:styleId="CommentReference">
    <w:name w:val="annotation reference"/>
    <w:basedOn w:val="DefaultParagraphFont"/>
    <w:uiPriority w:val="99"/>
    <w:semiHidden/>
    <w:unhideWhenUsed/>
    <w:rsid w:val="00F873D6"/>
    <w:rPr>
      <w:sz w:val="16"/>
      <w:szCs w:val="16"/>
    </w:rPr>
  </w:style>
  <w:style w:type="paragraph" w:styleId="CommentText">
    <w:name w:val="annotation text"/>
    <w:basedOn w:val="Normal"/>
    <w:link w:val="CommentTextChar"/>
    <w:uiPriority w:val="99"/>
    <w:semiHidden/>
    <w:unhideWhenUsed/>
    <w:rsid w:val="00F873D6"/>
    <w:rPr>
      <w:sz w:val="20"/>
      <w:szCs w:val="20"/>
    </w:rPr>
  </w:style>
  <w:style w:type="character" w:customStyle="1" w:styleId="CommentTextChar">
    <w:name w:val="Comment Text Char"/>
    <w:basedOn w:val="DefaultParagraphFont"/>
    <w:link w:val="CommentText"/>
    <w:uiPriority w:val="99"/>
    <w:semiHidden/>
    <w:rsid w:val="00F873D6"/>
    <w:rPr>
      <w:sz w:val="20"/>
      <w:szCs w:val="20"/>
    </w:rPr>
  </w:style>
  <w:style w:type="paragraph" w:styleId="CommentSubject">
    <w:name w:val="annotation subject"/>
    <w:basedOn w:val="CommentText"/>
    <w:next w:val="CommentText"/>
    <w:link w:val="CommentSubjectChar"/>
    <w:uiPriority w:val="99"/>
    <w:semiHidden/>
    <w:unhideWhenUsed/>
    <w:rsid w:val="00F873D6"/>
    <w:rPr>
      <w:b/>
      <w:bCs/>
    </w:rPr>
  </w:style>
  <w:style w:type="character" w:customStyle="1" w:styleId="CommentSubjectChar">
    <w:name w:val="Comment Subject Char"/>
    <w:basedOn w:val="CommentTextChar"/>
    <w:link w:val="CommentSubject"/>
    <w:uiPriority w:val="99"/>
    <w:semiHidden/>
    <w:rsid w:val="00F87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29937">
      <w:bodyDiv w:val="1"/>
      <w:marLeft w:val="0"/>
      <w:marRight w:val="0"/>
      <w:marTop w:val="0"/>
      <w:marBottom w:val="0"/>
      <w:divBdr>
        <w:top w:val="none" w:sz="0" w:space="0" w:color="auto"/>
        <w:left w:val="none" w:sz="0" w:space="0" w:color="auto"/>
        <w:bottom w:val="none" w:sz="0" w:space="0" w:color="auto"/>
        <w:right w:val="none" w:sz="0" w:space="0" w:color="auto"/>
      </w:divBdr>
      <w:divsChild>
        <w:div w:id="678312694">
          <w:marLeft w:val="90"/>
          <w:marRight w:val="90"/>
          <w:marTop w:val="0"/>
          <w:marBottom w:val="0"/>
          <w:divBdr>
            <w:top w:val="none" w:sz="0" w:space="0" w:color="auto"/>
            <w:left w:val="none" w:sz="0" w:space="0" w:color="auto"/>
            <w:bottom w:val="none" w:sz="0" w:space="0" w:color="auto"/>
            <w:right w:val="none" w:sz="0" w:space="0" w:color="auto"/>
          </w:divBdr>
          <w:divsChild>
            <w:div w:id="348484770">
              <w:marLeft w:val="0"/>
              <w:marRight w:val="0"/>
              <w:marTop w:val="0"/>
              <w:marBottom w:val="0"/>
              <w:divBdr>
                <w:top w:val="none" w:sz="0" w:space="0" w:color="auto"/>
                <w:left w:val="none" w:sz="0" w:space="0" w:color="auto"/>
                <w:bottom w:val="none" w:sz="0" w:space="0" w:color="auto"/>
                <w:right w:val="none" w:sz="0" w:space="0" w:color="auto"/>
              </w:divBdr>
              <w:divsChild>
                <w:div w:id="1754860165">
                  <w:marLeft w:val="0"/>
                  <w:marRight w:val="0"/>
                  <w:marTop w:val="0"/>
                  <w:marBottom w:val="0"/>
                  <w:divBdr>
                    <w:top w:val="none" w:sz="0" w:space="0" w:color="auto"/>
                    <w:left w:val="none" w:sz="0" w:space="0" w:color="auto"/>
                    <w:bottom w:val="none" w:sz="0" w:space="0" w:color="auto"/>
                    <w:right w:val="none" w:sz="0" w:space="0" w:color="auto"/>
                  </w:divBdr>
                  <w:divsChild>
                    <w:div w:id="747771731">
                      <w:marLeft w:val="0"/>
                      <w:marRight w:val="0"/>
                      <w:marTop w:val="0"/>
                      <w:marBottom w:val="0"/>
                      <w:divBdr>
                        <w:top w:val="none" w:sz="0" w:space="0" w:color="auto"/>
                        <w:left w:val="none" w:sz="0" w:space="0" w:color="auto"/>
                        <w:bottom w:val="none" w:sz="0" w:space="0" w:color="auto"/>
                        <w:right w:val="none" w:sz="0" w:space="0" w:color="auto"/>
                      </w:divBdr>
                      <w:divsChild>
                        <w:div w:id="297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21752">
      <w:bodyDiv w:val="1"/>
      <w:marLeft w:val="0"/>
      <w:marRight w:val="0"/>
      <w:marTop w:val="0"/>
      <w:marBottom w:val="0"/>
      <w:divBdr>
        <w:top w:val="none" w:sz="0" w:space="0" w:color="auto"/>
        <w:left w:val="none" w:sz="0" w:space="0" w:color="auto"/>
        <w:bottom w:val="none" w:sz="0" w:space="0" w:color="auto"/>
        <w:right w:val="none" w:sz="0" w:space="0" w:color="auto"/>
      </w:divBdr>
    </w:div>
    <w:div w:id="1026977739">
      <w:bodyDiv w:val="1"/>
      <w:marLeft w:val="0"/>
      <w:marRight w:val="0"/>
      <w:marTop w:val="0"/>
      <w:marBottom w:val="0"/>
      <w:divBdr>
        <w:top w:val="none" w:sz="0" w:space="0" w:color="auto"/>
        <w:left w:val="none" w:sz="0" w:space="0" w:color="auto"/>
        <w:bottom w:val="none" w:sz="0" w:space="0" w:color="auto"/>
        <w:right w:val="none" w:sz="0" w:space="0" w:color="auto"/>
      </w:divBdr>
    </w:div>
    <w:div w:id="1324317931">
      <w:bodyDiv w:val="1"/>
      <w:marLeft w:val="0"/>
      <w:marRight w:val="0"/>
      <w:marTop w:val="0"/>
      <w:marBottom w:val="0"/>
      <w:divBdr>
        <w:top w:val="none" w:sz="0" w:space="0" w:color="auto"/>
        <w:left w:val="none" w:sz="0" w:space="0" w:color="auto"/>
        <w:bottom w:val="none" w:sz="0" w:space="0" w:color="auto"/>
        <w:right w:val="none" w:sz="0" w:space="0" w:color="auto"/>
      </w:divBdr>
      <w:divsChild>
        <w:div w:id="1724717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0E0D-FF1C-4686-9693-CE7EB35F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659</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dc:creator>
  <cp:lastModifiedBy>Mathieu Vervynckt</cp:lastModifiedBy>
  <cp:revision>19</cp:revision>
  <cp:lastPrinted>2016-11-07T13:39:00Z</cp:lastPrinted>
  <dcterms:created xsi:type="dcterms:W3CDTF">2017-02-02T15:02:00Z</dcterms:created>
  <dcterms:modified xsi:type="dcterms:W3CDTF">2017-02-07T09:44:00Z</dcterms:modified>
</cp:coreProperties>
</file>