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3D84" w14:textId="2C110E0D" w:rsidR="00253BDA" w:rsidRPr="001900F0" w:rsidRDefault="00825512" w:rsidP="00B76C54">
      <w:pPr>
        <w:jc w:val="both"/>
        <w:rPr>
          <w:sz w:val="18"/>
          <w:lang w:val="fr-FR"/>
        </w:rPr>
      </w:pPr>
      <w:r w:rsidRPr="001900F0">
        <w:rPr>
          <w:sz w:val="18"/>
          <w:lang w:val="fr-FR"/>
        </w:rPr>
        <w:t>A :</w:t>
      </w:r>
      <w:r w:rsidR="00253BDA" w:rsidRPr="001900F0">
        <w:rPr>
          <w:sz w:val="18"/>
          <w:lang w:val="fr-FR"/>
        </w:rPr>
        <w:t xml:space="preserve"> </w:t>
      </w:r>
      <w:r w:rsidR="001900F0" w:rsidRPr="001900F0">
        <w:rPr>
          <w:sz w:val="18"/>
          <w:lang w:val="fr-FR"/>
        </w:rPr>
        <w:t>Equipe PPP du Groupe de la Banque mondiale</w:t>
      </w:r>
      <w:r w:rsidR="00D82F11" w:rsidRPr="001900F0">
        <w:rPr>
          <w:sz w:val="18"/>
          <w:lang w:val="fr-FR"/>
        </w:rPr>
        <w:tab/>
      </w:r>
      <w:r w:rsidR="00D82F11" w:rsidRPr="001900F0">
        <w:rPr>
          <w:sz w:val="18"/>
          <w:lang w:val="fr-FR"/>
        </w:rPr>
        <w:tab/>
      </w:r>
      <w:r w:rsidR="00D82F11" w:rsidRPr="001900F0">
        <w:rPr>
          <w:sz w:val="18"/>
          <w:lang w:val="fr-FR"/>
        </w:rPr>
        <w:tab/>
      </w:r>
      <w:r w:rsidR="00D82F11" w:rsidRPr="001900F0">
        <w:rPr>
          <w:sz w:val="18"/>
          <w:lang w:val="fr-FR"/>
        </w:rPr>
        <w:tab/>
        <w:t xml:space="preserve">         </w:t>
      </w:r>
      <w:r w:rsidR="00E4557C">
        <w:rPr>
          <w:sz w:val="18"/>
          <w:lang w:val="fr-FR"/>
        </w:rPr>
        <w:t xml:space="preserve">         </w:t>
      </w:r>
      <w:r w:rsidR="001E5FC1" w:rsidRPr="001900F0">
        <w:rPr>
          <w:sz w:val="18"/>
          <w:lang w:val="fr-FR"/>
        </w:rPr>
        <w:t>2</w:t>
      </w:r>
      <w:r w:rsidR="00D82F11" w:rsidRPr="001900F0">
        <w:rPr>
          <w:sz w:val="18"/>
          <w:lang w:val="fr-FR"/>
        </w:rPr>
        <w:t xml:space="preserve"> </w:t>
      </w:r>
      <w:r w:rsidR="00E4557C">
        <w:rPr>
          <w:sz w:val="18"/>
          <w:lang w:val="fr-FR"/>
        </w:rPr>
        <w:t>février</w:t>
      </w:r>
      <w:r w:rsidR="00D82F11" w:rsidRPr="001900F0">
        <w:rPr>
          <w:sz w:val="18"/>
          <w:lang w:val="fr-FR"/>
        </w:rPr>
        <w:t xml:space="preserve"> 2017</w:t>
      </w:r>
    </w:p>
    <w:p w14:paraId="4BD2AA4F" w14:textId="4BDA2533" w:rsidR="00253BDA" w:rsidRPr="001900F0" w:rsidRDefault="00825512" w:rsidP="00253BDA">
      <w:pPr>
        <w:jc w:val="both"/>
        <w:rPr>
          <w:sz w:val="18"/>
          <w:lang w:val="fr-FR"/>
        </w:rPr>
      </w:pPr>
      <w:r w:rsidRPr="001900F0">
        <w:rPr>
          <w:sz w:val="18"/>
          <w:lang w:val="fr-FR"/>
        </w:rPr>
        <w:t>CC :</w:t>
      </w:r>
      <w:r w:rsidR="00253BDA" w:rsidRPr="001900F0">
        <w:rPr>
          <w:sz w:val="18"/>
          <w:lang w:val="fr-FR"/>
        </w:rPr>
        <w:t xml:space="preserve"> </w:t>
      </w:r>
      <w:r w:rsidR="001900F0" w:rsidRPr="001900F0">
        <w:rPr>
          <w:sz w:val="18"/>
          <w:lang w:val="fr-FR"/>
        </w:rPr>
        <w:t>Directeurs exécutifs de la Banque mondiale</w:t>
      </w:r>
    </w:p>
    <w:p w14:paraId="0F3D2237" w14:textId="046B9B40" w:rsidR="00253BDA" w:rsidRPr="001900F0" w:rsidRDefault="00253BDA" w:rsidP="00B76C54">
      <w:pPr>
        <w:jc w:val="both"/>
        <w:rPr>
          <w:b/>
          <w:sz w:val="22"/>
          <w:u w:val="single"/>
          <w:lang w:val="fr-FR"/>
        </w:rPr>
      </w:pPr>
    </w:p>
    <w:p w14:paraId="18C6610F" w14:textId="77777777" w:rsidR="00305E3A" w:rsidRDefault="00305E3A" w:rsidP="00D82F11">
      <w:pPr>
        <w:jc w:val="center"/>
        <w:rPr>
          <w:b/>
          <w:sz w:val="22"/>
          <w:u w:val="single"/>
          <w:lang w:val="fr-FR"/>
        </w:rPr>
      </w:pPr>
    </w:p>
    <w:p w14:paraId="4D4F4CB2" w14:textId="1E1DC4B5" w:rsidR="00105512" w:rsidRPr="000B1367" w:rsidRDefault="00825512" w:rsidP="00D82F11">
      <w:pPr>
        <w:jc w:val="center"/>
        <w:rPr>
          <w:rFonts w:eastAsia="Times New Roman" w:cs="Times New Roman"/>
          <w:color w:val="000000"/>
          <w:kern w:val="36"/>
          <w:sz w:val="36"/>
          <w:szCs w:val="39"/>
          <w:lang w:val="fr-FR" w:eastAsia="nl-BE"/>
        </w:rPr>
      </w:pPr>
      <w:r>
        <w:rPr>
          <w:b/>
          <w:sz w:val="22"/>
          <w:u w:val="single"/>
          <w:lang w:val="fr-FR"/>
        </w:rPr>
        <w:t>Concerne</w:t>
      </w:r>
      <w:r w:rsidRPr="000B1367">
        <w:rPr>
          <w:b/>
          <w:sz w:val="22"/>
          <w:u w:val="single"/>
          <w:lang w:val="fr-FR"/>
        </w:rPr>
        <w:t xml:space="preserve"> :</w:t>
      </w:r>
      <w:r w:rsidR="00305E3A">
        <w:rPr>
          <w:b/>
          <w:sz w:val="22"/>
          <w:u w:val="single"/>
          <w:lang w:val="fr-FR"/>
        </w:rPr>
        <w:t xml:space="preserve"> C</w:t>
      </w:r>
      <w:r w:rsidR="00105512" w:rsidRPr="000B1367">
        <w:rPr>
          <w:b/>
          <w:sz w:val="22"/>
          <w:u w:val="single"/>
          <w:lang w:val="fr-FR"/>
        </w:rPr>
        <w:t xml:space="preserve">onsultation publique sur les dispositions contractuelles </w:t>
      </w:r>
      <w:r w:rsidR="002A1C83">
        <w:rPr>
          <w:b/>
          <w:sz w:val="22"/>
          <w:u w:val="single"/>
          <w:lang w:val="fr-FR"/>
        </w:rPr>
        <w:t xml:space="preserve">recommandées des </w:t>
      </w:r>
      <w:r w:rsidR="00105512" w:rsidRPr="000B1367">
        <w:rPr>
          <w:b/>
          <w:sz w:val="22"/>
          <w:u w:val="single"/>
          <w:lang w:val="fr-FR"/>
        </w:rPr>
        <w:t>partenariat</w:t>
      </w:r>
      <w:r w:rsidR="002A1C83">
        <w:rPr>
          <w:b/>
          <w:sz w:val="22"/>
          <w:u w:val="single"/>
          <w:lang w:val="fr-FR"/>
        </w:rPr>
        <w:t>s public-privé (PPP)</w:t>
      </w:r>
    </w:p>
    <w:p w14:paraId="5AC8C871" w14:textId="77777777" w:rsidR="00D82F11" w:rsidRPr="000B1367" w:rsidRDefault="00D82F11" w:rsidP="00B76C54">
      <w:pPr>
        <w:jc w:val="both"/>
        <w:rPr>
          <w:b/>
          <w:sz w:val="22"/>
          <w:u w:val="single"/>
          <w:lang w:val="fr-FR"/>
        </w:rPr>
      </w:pPr>
    </w:p>
    <w:p w14:paraId="283AF4C4" w14:textId="77777777" w:rsidR="00AE279B" w:rsidRPr="00D71C34" w:rsidRDefault="00AE279B" w:rsidP="00B76C54">
      <w:pPr>
        <w:jc w:val="both"/>
        <w:rPr>
          <w:sz w:val="22"/>
          <w:szCs w:val="22"/>
          <w:lang w:val="fr-FR"/>
        </w:rPr>
      </w:pPr>
    </w:p>
    <w:p w14:paraId="78CCC74F" w14:textId="0FE3882F" w:rsidR="00AE279B" w:rsidRPr="00AE279B" w:rsidRDefault="00AE279B" w:rsidP="00B76C54">
      <w:pPr>
        <w:jc w:val="both"/>
        <w:rPr>
          <w:sz w:val="22"/>
          <w:szCs w:val="22"/>
          <w:lang w:val="fr-FR"/>
        </w:rPr>
      </w:pPr>
      <w:r w:rsidRPr="00AE279B">
        <w:rPr>
          <w:sz w:val="22"/>
          <w:szCs w:val="22"/>
          <w:lang w:val="fr-FR"/>
        </w:rPr>
        <w:t>Chers Directeurs exécutifs</w:t>
      </w:r>
      <w:r>
        <w:rPr>
          <w:sz w:val="22"/>
          <w:szCs w:val="22"/>
          <w:lang w:val="fr-FR"/>
        </w:rPr>
        <w:t xml:space="preserve"> et</w:t>
      </w:r>
      <w:r w:rsidR="0064656B">
        <w:rPr>
          <w:sz w:val="22"/>
          <w:szCs w:val="22"/>
          <w:lang w:val="fr-FR"/>
        </w:rPr>
        <w:t xml:space="preserve"> équipe PPP du Groupe de la Banque mondiale (GBM),</w:t>
      </w:r>
    </w:p>
    <w:p w14:paraId="26EC2BA6" w14:textId="77777777" w:rsidR="0064656B" w:rsidRPr="001900F0" w:rsidRDefault="0064656B" w:rsidP="005E519F">
      <w:pPr>
        <w:jc w:val="both"/>
        <w:rPr>
          <w:sz w:val="22"/>
          <w:szCs w:val="22"/>
          <w:lang w:val="en-US"/>
        </w:rPr>
      </w:pPr>
    </w:p>
    <w:p w14:paraId="4D53381A" w14:textId="3ADA9FB5" w:rsidR="0064656B" w:rsidRPr="00AE279B" w:rsidRDefault="0064656B" w:rsidP="005E519F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Nous vous écrivons afin d’expliquer pourquoi nous ne participerons pas à cette consul</w:t>
      </w:r>
      <w:r w:rsidR="00B91F41">
        <w:rPr>
          <w:sz w:val="22"/>
          <w:szCs w:val="22"/>
          <w:lang w:val="fr-FR"/>
        </w:rPr>
        <w:t>tation publique et pourquoi nous</w:t>
      </w:r>
      <w:r>
        <w:rPr>
          <w:sz w:val="22"/>
          <w:szCs w:val="22"/>
          <w:lang w:val="fr-FR"/>
        </w:rPr>
        <w:t xml:space="preserve"> encourageons d’autres parties prenantes à adopter la même approche. Nous sommes pro</w:t>
      </w:r>
      <w:r w:rsidR="00122022">
        <w:rPr>
          <w:sz w:val="22"/>
          <w:szCs w:val="22"/>
          <w:lang w:val="fr-FR"/>
        </w:rPr>
        <w:t>fondément convaincus que le GBM</w:t>
      </w:r>
      <w:r w:rsidR="006E3C89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n</w:t>
      </w:r>
      <w:r w:rsidR="006E3C89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 xml:space="preserve"> devrait pas aborder la question des d</w:t>
      </w:r>
      <w:r w:rsidR="004026F4">
        <w:rPr>
          <w:sz w:val="22"/>
          <w:szCs w:val="22"/>
          <w:lang w:val="fr-FR"/>
        </w:rPr>
        <w:t>ispositions contractuelles sans</w:t>
      </w:r>
      <w:r w:rsidR="00FA2C35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s’</w:t>
      </w:r>
      <w:r w:rsidR="00122022">
        <w:rPr>
          <w:sz w:val="22"/>
          <w:szCs w:val="22"/>
          <w:lang w:val="fr-FR"/>
        </w:rPr>
        <w:t>attaquer</w:t>
      </w:r>
      <w:r w:rsidR="004026F4">
        <w:rPr>
          <w:sz w:val="22"/>
          <w:szCs w:val="22"/>
          <w:lang w:val="fr-FR"/>
        </w:rPr>
        <w:t>, au préalable,</w:t>
      </w:r>
      <w:r w:rsidR="00FA2C35">
        <w:rPr>
          <w:sz w:val="22"/>
          <w:szCs w:val="22"/>
          <w:lang w:val="fr-FR"/>
        </w:rPr>
        <w:t xml:space="preserve"> </w:t>
      </w:r>
      <w:r w:rsidR="00D66E68">
        <w:rPr>
          <w:sz w:val="22"/>
          <w:szCs w:val="22"/>
          <w:lang w:val="fr-FR"/>
        </w:rPr>
        <w:t>aux incitation</w:t>
      </w:r>
      <w:r w:rsidR="00DE2665">
        <w:rPr>
          <w:sz w:val="22"/>
          <w:szCs w:val="22"/>
          <w:lang w:val="fr-FR"/>
        </w:rPr>
        <w:t>s</w:t>
      </w:r>
      <w:r w:rsidR="00D66E68">
        <w:rPr>
          <w:sz w:val="22"/>
          <w:szCs w:val="22"/>
          <w:lang w:val="fr-FR"/>
        </w:rPr>
        <w:t xml:space="preserve"> </w:t>
      </w:r>
      <w:r w:rsidR="000074CD">
        <w:rPr>
          <w:sz w:val="22"/>
          <w:szCs w:val="22"/>
          <w:lang w:val="fr-FR"/>
        </w:rPr>
        <w:t>comptables pervers</w:t>
      </w:r>
      <w:r w:rsidR="00DE2665">
        <w:rPr>
          <w:sz w:val="22"/>
          <w:szCs w:val="22"/>
          <w:lang w:val="fr-FR"/>
        </w:rPr>
        <w:t>es</w:t>
      </w:r>
      <w:r w:rsidR="00122022">
        <w:rPr>
          <w:sz w:val="22"/>
          <w:szCs w:val="22"/>
          <w:lang w:val="fr-FR"/>
        </w:rPr>
        <w:t xml:space="preserve"> qui font des PPP un outil dangereux.</w:t>
      </w:r>
    </w:p>
    <w:p w14:paraId="3284C4AD" w14:textId="77777777" w:rsidR="00122022" w:rsidRPr="008E4A04" w:rsidRDefault="00122022" w:rsidP="00AD058F">
      <w:pPr>
        <w:jc w:val="both"/>
        <w:rPr>
          <w:sz w:val="22"/>
          <w:szCs w:val="22"/>
          <w:lang w:val="en-US"/>
        </w:rPr>
      </w:pPr>
    </w:p>
    <w:p w14:paraId="4C4BD887" w14:textId="07FE71D6" w:rsidR="007C7997" w:rsidRPr="00AE279B" w:rsidRDefault="00122022" w:rsidP="00AD058F">
      <w:pPr>
        <w:jc w:val="both"/>
        <w:rPr>
          <w:sz w:val="22"/>
          <w:szCs w:val="21"/>
          <w:lang w:val="fr-FR"/>
        </w:rPr>
      </w:pPr>
      <w:r>
        <w:rPr>
          <w:sz w:val="22"/>
          <w:szCs w:val="22"/>
          <w:lang w:val="fr-FR"/>
        </w:rPr>
        <w:t>Aujourd’hui, nombreux sont les pays</w:t>
      </w:r>
      <w:r w:rsidR="000C10C3">
        <w:rPr>
          <w:sz w:val="22"/>
          <w:szCs w:val="22"/>
          <w:lang w:val="fr-FR"/>
        </w:rPr>
        <w:t xml:space="preserve"> qui optent pour d</w:t>
      </w:r>
      <w:r w:rsidR="008E4A04">
        <w:rPr>
          <w:sz w:val="22"/>
          <w:szCs w:val="22"/>
          <w:lang w:val="fr-FR"/>
        </w:rPr>
        <w:t>es PPP à la place</w:t>
      </w:r>
      <w:r>
        <w:rPr>
          <w:sz w:val="22"/>
          <w:szCs w:val="22"/>
          <w:lang w:val="fr-FR"/>
        </w:rPr>
        <w:t xml:space="preserve"> des marchés publics class</w:t>
      </w:r>
      <w:r w:rsidR="00FF4E26">
        <w:rPr>
          <w:sz w:val="22"/>
          <w:szCs w:val="22"/>
          <w:lang w:val="fr-FR"/>
        </w:rPr>
        <w:t>iques, non pas pour les gains</w:t>
      </w:r>
      <w:r w:rsidR="006B2B9F">
        <w:rPr>
          <w:sz w:val="22"/>
          <w:szCs w:val="22"/>
          <w:lang w:val="fr-FR"/>
        </w:rPr>
        <w:t xml:space="preserve"> </w:t>
      </w:r>
      <w:r w:rsidR="009A66A7">
        <w:rPr>
          <w:sz w:val="22"/>
          <w:szCs w:val="22"/>
          <w:lang w:val="fr-FR"/>
        </w:rPr>
        <w:t>d’efficience</w:t>
      </w:r>
      <w:r w:rsidR="003D05C6">
        <w:rPr>
          <w:sz w:val="22"/>
          <w:szCs w:val="22"/>
          <w:lang w:val="fr-FR"/>
        </w:rPr>
        <w:t xml:space="preserve"> qu’ils représentent</w:t>
      </w:r>
      <w:r w:rsidR="00FF4E26">
        <w:rPr>
          <w:sz w:val="22"/>
          <w:szCs w:val="22"/>
          <w:lang w:val="fr-FR"/>
        </w:rPr>
        <w:t xml:space="preserve">, </w:t>
      </w:r>
      <w:r w:rsidR="006B2B9F">
        <w:rPr>
          <w:sz w:val="22"/>
          <w:szCs w:val="22"/>
          <w:lang w:val="fr-FR"/>
        </w:rPr>
        <w:t>mais plutôt pour le</w:t>
      </w:r>
      <w:r w:rsidR="00DC3276">
        <w:rPr>
          <w:sz w:val="22"/>
          <w:szCs w:val="22"/>
          <w:lang w:val="fr-FR"/>
        </w:rPr>
        <w:t>ur</w:t>
      </w:r>
      <w:r w:rsidR="006B2B9F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 mesures comptables non transparentes</w:t>
      </w:r>
      <w:r w:rsidR="006B2B9F">
        <w:rPr>
          <w:sz w:val="22"/>
          <w:szCs w:val="22"/>
          <w:lang w:val="fr-FR"/>
        </w:rPr>
        <w:t xml:space="preserve"> </w:t>
      </w:r>
      <w:r w:rsidR="00DC3276">
        <w:rPr>
          <w:sz w:val="22"/>
          <w:szCs w:val="22"/>
          <w:lang w:val="fr-FR"/>
        </w:rPr>
        <w:t>qui</w:t>
      </w:r>
      <w:r>
        <w:rPr>
          <w:sz w:val="22"/>
          <w:szCs w:val="22"/>
          <w:lang w:val="fr-FR"/>
        </w:rPr>
        <w:t xml:space="preserve"> permettent de laisser les coûts et les </w:t>
      </w:r>
      <w:r w:rsidR="00FF4E26">
        <w:rPr>
          <w:sz w:val="22"/>
          <w:szCs w:val="22"/>
          <w:lang w:val="fr-FR"/>
        </w:rPr>
        <w:t>passifs éventuels « hors bilan co</w:t>
      </w:r>
      <w:r w:rsidR="00331885">
        <w:rPr>
          <w:sz w:val="22"/>
          <w:szCs w:val="22"/>
          <w:lang w:val="fr-FR"/>
        </w:rPr>
        <w:t xml:space="preserve">mptable », </w:t>
      </w:r>
      <w:r w:rsidR="00A0674A">
        <w:rPr>
          <w:sz w:val="22"/>
          <w:szCs w:val="22"/>
          <w:lang w:val="fr-FR"/>
        </w:rPr>
        <w:t xml:space="preserve">dissimulant ainsi </w:t>
      </w:r>
      <w:r w:rsidR="00331885">
        <w:rPr>
          <w:sz w:val="22"/>
          <w:szCs w:val="22"/>
          <w:lang w:val="fr-FR"/>
        </w:rPr>
        <w:t>l</w:t>
      </w:r>
      <w:r w:rsidR="00FF4E26">
        <w:rPr>
          <w:sz w:val="22"/>
          <w:szCs w:val="22"/>
          <w:lang w:val="fr-FR"/>
        </w:rPr>
        <w:t>es véri</w:t>
      </w:r>
      <w:r w:rsidR="00331885">
        <w:rPr>
          <w:sz w:val="22"/>
          <w:szCs w:val="22"/>
          <w:lang w:val="fr-FR"/>
        </w:rPr>
        <w:t xml:space="preserve">tables coûts des </w:t>
      </w:r>
      <w:r w:rsidR="002E497A">
        <w:rPr>
          <w:sz w:val="22"/>
          <w:szCs w:val="22"/>
          <w:lang w:val="fr-FR"/>
        </w:rPr>
        <w:t>projets</w:t>
      </w:r>
      <w:r w:rsidR="00FF4E26">
        <w:rPr>
          <w:sz w:val="22"/>
          <w:szCs w:val="22"/>
          <w:lang w:val="fr-FR"/>
        </w:rPr>
        <w:t xml:space="preserve">. </w:t>
      </w:r>
      <w:r w:rsidR="00B56AE1">
        <w:rPr>
          <w:sz w:val="22"/>
          <w:szCs w:val="22"/>
          <w:lang w:val="fr-FR"/>
        </w:rPr>
        <w:t>Il s’agit de</w:t>
      </w:r>
      <w:r w:rsidR="00FF4E26">
        <w:rPr>
          <w:sz w:val="22"/>
          <w:szCs w:val="22"/>
          <w:lang w:val="fr-FR"/>
        </w:rPr>
        <w:t xml:space="preserve"> l’un des principaux moteurs des PPP. Il permet aux dirigeants de contou</w:t>
      </w:r>
      <w:r w:rsidR="0016348B">
        <w:rPr>
          <w:sz w:val="22"/>
          <w:szCs w:val="22"/>
          <w:lang w:val="fr-FR"/>
        </w:rPr>
        <w:t xml:space="preserve">rner les limites budgétaires </w:t>
      </w:r>
      <w:r w:rsidR="00036558">
        <w:rPr>
          <w:sz w:val="22"/>
          <w:szCs w:val="22"/>
          <w:lang w:val="fr-FR"/>
        </w:rPr>
        <w:t>définies par la loi</w:t>
      </w:r>
      <w:r w:rsidR="00196A1D">
        <w:rPr>
          <w:sz w:val="22"/>
          <w:szCs w:val="22"/>
          <w:lang w:val="fr-FR"/>
        </w:rPr>
        <w:t xml:space="preserve"> tout en continuant à fournir les services essentiels</w:t>
      </w:r>
      <w:r w:rsidR="009E4DC6">
        <w:rPr>
          <w:sz w:val="22"/>
          <w:szCs w:val="22"/>
          <w:lang w:val="fr-FR"/>
        </w:rPr>
        <w:t>, sans avoir à</w:t>
      </w:r>
      <w:r w:rsidR="00FF4E26">
        <w:rPr>
          <w:sz w:val="22"/>
          <w:szCs w:val="22"/>
          <w:lang w:val="fr-FR"/>
        </w:rPr>
        <w:t xml:space="preserve"> tenir compte des conséquences fiscales à moyen et long terme.</w:t>
      </w:r>
    </w:p>
    <w:p w14:paraId="14BE8E15" w14:textId="77777777" w:rsidR="007C7997" w:rsidRPr="00AE279B" w:rsidRDefault="007C7997" w:rsidP="00AD058F">
      <w:pPr>
        <w:jc w:val="both"/>
        <w:rPr>
          <w:sz w:val="22"/>
          <w:szCs w:val="21"/>
          <w:lang w:val="fr-FR"/>
        </w:rPr>
      </w:pPr>
    </w:p>
    <w:p w14:paraId="656E7381" w14:textId="25AEA4A2" w:rsidR="00814E33" w:rsidRPr="00AE279B" w:rsidRDefault="009877F4" w:rsidP="007C7997">
      <w:pPr>
        <w:jc w:val="both"/>
        <w:rPr>
          <w:rFonts w:cstheme="majorHAnsi"/>
          <w:sz w:val="22"/>
          <w:szCs w:val="22"/>
          <w:lang w:val="fr-FR"/>
        </w:rPr>
      </w:pPr>
      <w:r>
        <w:rPr>
          <w:rFonts w:cstheme="majorHAnsi"/>
          <w:sz w:val="22"/>
          <w:szCs w:val="22"/>
          <w:lang w:val="fr-FR"/>
        </w:rPr>
        <w:t>Grâce à c</w:t>
      </w:r>
      <w:r w:rsidR="00814E33">
        <w:rPr>
          <w:rFonts w:cstheme="majorHAnsi"/>
          <w:sz w:val="22"/>
          <w:szCs w:val="22"/>
          <w:lang w:val="fr-FR"/>
        </w:rPr>
        <w:t xml:space="preserve">es </w:t>
      </w:r>
      <w:r w:rsidR="00133214">
        <w:rPr>
          <w:rFonts w:cstheme="majorHAnsi"/>
          <w:sz w:val="22"/>
          <w:szCs w:val="22"/>
          <w:lang w:val="fr-FR"/>
        </w:rPr>
        <w:t>mesure</w:t>
      </w:r>
      <w:r w:rsidR="00B7047C">
        <w:rPr>
          <w:rFonts w:cstheme="majorHAnsi"/>
          <w:sz w:val="22"/>
          <w:szCs w:val="22"/>
          <w:lang w:val="fr-FR"/>
        </w:rPr>
        <w:t>s comptables</w:t>
      </w:r>
      <w:r w:rsidR="00814E33">
        <w:rPr>
          <w:rFonts w:cstheme="majorHAnsi"/>
          <w:sz w:val="22"/>
          <w:szCs w:val="22"/>
          <w:lang w:val="fr-FR"/>
        </w:rPr>
        <w:t xml:space="preserve"> hors bilan, les gouvernements </w:t>
      </w:r>
      <w:r w:rsidR="00284751">
        <w:rPr>
          <w:rFonts w:cstheme="majorHAnsi"/>
          <w:sz w:val="22"/>
          <w:szCs w:val="22"/>
          <w:lang w:val="fr-FR"/>
        </w:rPr>
        <w:t>parviennent à donner la dangereuse impression</w:t>
      </w:r>
      <w:r w:rsidR="00814E33">
        <w:rPr>
          <w:rFonts w:cstheme="majorHAnsi"/>
          <w:sz w:val="22"/>
          <w:szCs w:val="22"/>
          <w:lang w:val="fr-FR"/>
        </w:rPr>
        <w:t xml:space="preserve"> </w:t>
      </w:r>
      <w:r w:rsidR="005410F0">
        <w:rPr>
          <w:rFonts w:cstheme="majorHAnsi"/>
          <w:sz w:val="22"/>
          <w:szCs w:val="22"/>
          <w:lang w:val="fr-FR"/>
        </w:rPr>
        <w:t>que</w:t>
      </w:r>
      <w:r w:rsidR="00814E33">
        <w:rPr>
          <w:rFonts w:cstheme="majorHAnsi"/>
          <w:sz w:val="22"/>
          <w:szCs w:val="22"/>
          <w:lang w:val="fr-FR"/>
        </w:rPr>
        <w:t xml:space="preserve"> les PPP sont </w:t>
      </w:r>
      <w:r w:rsidR="00100254">
        <w:rPr>
          <w:rFonts w:cstheme="majorHAnsi"/>
          <w:sz w:val="22"/>
          <w:szCs w:val="22"/>
          <w:lang w:val="fr-FR"/>
        </w:rPr>
        <w:t>moi</w:t>
      </w:r>
      <w:r w:rsidR="00762683">
        <w:rPr>
          <w:rFonts w:cstheme="majorHAnsi"/>
          <w:sz w:val="22"/>
          <w:szCs w:val="22"/>
          <w:lang w:val="fr-FR"/>
        </w:rPr>
        <w:t>ns coûteux</w:t>
      </w:r>
      <w:r w:rsidR="00100254">
        <w:rPr>
          <w:rFonts w:cstheme="majorHAnsi"/>
          <w:sz w:val="22"/>
          <w:szCs w:val="22"/>
          <w:lang w:val="fr-FR"/>
        </w:rPr>
        <w:t xml:space="preserve"> que ce qu’ils ne le sont en réalité</w:t>
      </w:r>
      <w:r w:rsidR="00814E33">
        <w:rPr>
          <w:rFonts w:cstheme="majorHAnsi"/>
          <w:sz w:val="22"/>
          <w:szCs w:val="22"/>
          <w:lang w:val="fr-FR"/>
        </w:rPr>
        <w:t>. La Commission européenne m</w:t>
      </w:r>
      <w:r w:rsidR="00284751">
        <w:rPr>
          <w:rFonts w:cstheme="majorHAnsi"/>
          <w:sz w:val="22"/>
          <w:szCs w:val="22"/>
          <w:lang w:val="fr-FR"/>
        </w:rPr>
        <w:t>et également en garde contre le</w:t>
      </w:r>
      <w:r w:rsidR="00814E33">
        <w:rPr>
          <w:rFonts w:cstheme="majorHAnsi"/>
          <w:sz w:val="22"/>
          <w:szCs w:val="22"/>
          <w:lang w:val="fr-FR"/>
        </w:rPr>
        <w:t xml:space="preserve"> « </w:t>
      </w:r>
      <w:r w:rsidR="00284751">
        <w:rPr>
          <w:rFonts w:cstheme="majorHAnsi"/>
          <w:sz w:val="22"/>
          <w:szCs w:val="22"/>
          <w:lang w:val="fr-FR"/>
        </w:rPr>
        <w:t>caractère abordable illusoire</w:t>
      </w:r>
      <w:r w:rsidR="00100254">
        <w:rPr>
          <w:rFonts w:cstheme="majorHAnsi"/>
          <w:sz w:val="22"/>
          <w:szCs w:val="22"/>
          <w:lang w:val="fr-FR"/>
        </w:rPr>
        <w:t>’</w:t>
      </w:r>
      <w:r w:rsidR="000411EF">
        <w:rPr>
          <w:rFonts w:cstheme="majorHAnsi"/>
          <w:sz w:val="22"/>
          <w:szCs w:val="22"/>
          <w:lang w:val="fr-FR"/>
        </w:rPr>
        <w:t> qui tend à s’accentuer lorsqu’un projet est exclu du bilan comptable »</w:t>
      </w:r>
      <w:r w:rsidR="006E40DD" w:rsidRPr="006E40DD">
        <w:rPr>
          <w:rStyle w:val="FootnoteReference"/>
          <w:sz w:val="22"/>
          <w:szCs w:val="22"/>
          <w:lang w:val="fr-FR"/>
        </w:rPr>
        <w:t xml:space="preserve"> </w:t>
      </w:r>
      <w:r w:rsidR="006E40DD" w:rsidRPr="00AE279B">
        <w:rPr>
          <w:rStyle w:val="FootnoteReference"/>
          <w:sz w:val="22"/>
          <w:szCs w:val="22"/>
          <w:lang w:val="fr-FR"/>
        </w:rPr>
        <w:footnoteReference w:id="1"/>
      </w:r>
      <w:r w:rsidR="00B176A6">
        <w:rPr>
          <w:rFonts w:cstheme="majorHAnsi"/>
          <w:sz w:val="22"/>
          <w:szCs w:val="22"/>
          <w:lang w:val="fr-FR"/>
        </w:rPr>
        <w:t>. De même, le</w:t>
      </w:r>
      <w:r w:rsidR="000411EF">
        <w:rPr>
          <w:rFonts w:cstheme="majorHAnsi"/>
          <w:sz w:val="22"/>
          <w:szCs w:val="22"/>
          <w:lang w:val="fr-FR"/>
        </w:rPr>
        <w:t>s</w:t>
      </w:r>
      <w:r w:rsidR="00B176A6">
        <w:rPr>
          <w:rFonts w:cstheme="majorHAnsi"/>
          <w:sz w:val="22"/>
          <w:szCs w:val="22"/>
          <w:lang w:val="fr-FR"/>
        </w:rPr>
        <w:t xml:space="preserve"> </w:t>
      </w:r>
      <w:r w:rsidR="000411EF">
        <w:rPr>
          <w:rFonts w:cstheme="majorHAnsi"/>
          <w:sz w:val="22"/>
          <w:szCs w:val="22"/>
          <w:lang w:val="fr-FR"/>
        </w:rPr>
        <w:t>experts du Département des</w:t>
      </w:r>
      <w:r w:rsidR="006450E2">
        <w:rPr>
          <w:rFonts w:cstheme="majorHAnsi"/>
          <w:sz w:val="22"/>
          <w:szCs w:val="22"/>
          <w:lang w:val="fr-FR"/>
        </w:rPr>
        <w:t xml:space="preserve"> finances publiques</w:t>
      </w:r>
      <w:r w:rsidR="00ED2C98">
        <w:rPr>
          <w:rFonts w:cstheme="majorHAnsi"/>
          <w:sz w:val="22"/>
          <w:szCs w:val="22"/>
          <w:lang w:val="fr-FR"/>
        </w:rPr>
        <w:t xml:space="preserve"> du FMI affirment </w:t>
      </w:r>
      <w:r w:rsidR="00825512">
        <w:rPr>
          <w:rFonts w:cstheme="majorHAnsi"/>
          <w:sz w:val="22"/>
          <w:szCs w:val="22"/>
          <w:lang w:val="fr-FR"/>
        </w:rPr>
        <w:t>qu’ «</w:t>
      </w:r>
      <w:r w:rsidR="000411EF">
        <w:rPr>
          <w:rFonts w:cstheme="majorHAnsi"/>
          <w:sz w:val="22"/>
          <w:szCs w:val="22"/>
          <w:lang w:val="fr-FR"/>
        </w:rPr>
        <w:t xml:space="preserve"> un </w:t>
      </w:r>
      <w:r w:rsidR="00A76534">
        <w:rPr>
          <w:rFonts w:cstheme="majorHAnsi"/>
          <w:sz w:val="22"/>
          <w:szCs w:val="22"/>
          <w:lang w:val="fr-FR"/>
        </w:rPr>
        <w:t>traitement budgétaire</w:t>
      </w:r>
      <w:r w:rsidR="000411EF">
        <w:rPr>
          <w:rFonts w:cstheme="majorHAnsi"/>
          <w:sz w:val="22"/>
          <w:szCs w:val="22"/>
          <w:lang w:val="fr-FR"/>
        </w:rPr>
        <w:t xml:space="preserve"> et/ ou statistique</w:t>
      </w:r>
      <w:r w:rsidR="00A76534">
        <w:rPr>
          <w:rFonts w:cstheme="majorHAnsi"/>
          <w:sz w:val="22"/>
          <w:szCs w:val="22"/>
          <w:lang w:val="fr-FR"/>
        </w:rPr>
        <w:t xml:space="preserve"> inadéquat</w:t>
      </w:r>
      <w:r w:rsidR="000411EF">
        <w:rPr>
          <w:rFonts w:cstheme="majorHAnsi"/>
          <w:sz w:val="22"/>
          <w:szCs w:val="22"/>
          <w:lang w:val="fr-FR"/>
        </w:rPr>
        <w:t xml:space="preserve"> peut permettre aux gouvernements d’ignorer l’impa</w:t>
      </w:r>
      <w:r w:rsidR="00BD0D34">
        <w:rPr>
          <w:rFonts w:cstheme="majorHAnsi"/>
          <w:sz w:val="22"/>
          <w:szCs w:val="22"/>
          <w:lang w:val="fr-FR"/>
        </w:rPr>
        <w:t>ct des PPP sur la dette</w:t>
      </w:r>
      <w:r w:rsidR="000411EF">
        <w:rPr>
          <w:rFonts w:cstheme="majorHAnsi"/>
          <w:sz w:val="22"/>
          <w:szCs w:val="22"/>
          <w:lang w:val="fr-FR"/>
        </w:rPr>
        <w:t xml:space="preserve"> et le déficit</w:t>
      </w:r>
      <w:r w:rsidR="00BD0D34">
        <w:rPr>
          <w:rFonts w:cstheme="majorHAnsi"/>
          <w:sz w:val="22"/>
          <w:szCs w:val="22"/>
          <w:lang w:val="fr-FR"/>
        </w:rPr>
        <w:t xml:space="preserve"> publics</w:t>
      </w:r>
      <w:r w:rsidR="000411EF">
        <w:rPr>
          <w:rFonts w:cstheme="majorHAnsi"/>
          <w:sz w:val="22"/>
          <w:szCs w:val="22"/>
          <w:lang w:val="fr-FR"/>
        </w:rPr>
        <w:t xml:space="preserve">. Dans la pratique, les gouvernements finissent souvent par assumer des coûts et des risques fiscaux plus importants que prévu à moyen et </w:t>
      </w:r>
      <w:r w:rsidR="0073632E">
        <w:rPr>
          <w:rFonts w:cstheme="majorHAnsi"/>
          <w:sz w:val="22"/>
          <w:szCs w:val="22"/>
          <w:lang w:val="fr-FR"/>
        </w:rPr>
        <w:t xml:space="preserve">à </w:t>
      </w:r>
      <w:r w:rsidR="000411EF">
        <w:rPr>
          <w:rFonts w:cstheme="majorHAnsi"/>
          <w:sz w:val="22"/>
          <w:szCs w:val="22"/>
          <w:lang w:val="fr-FR"/>
        </w:rPr>
        <w:t>long terme »</w:t>
      </w:r>
      <w:r w:rsidR="006E40DD" w:rsidRPr="006E40DD">
        <w:rPr>
          <w:rStyle w:val="FootnoteReference"/>
          <w:sz w:val="22"/>
          <w:szCs w:val="22"/>
          <w:lang w:val="fr-FR"/>
        </w:rPr>
        <w:t xml:space="preserve"> </w:t>
      </w:r>
      <w:r w:rsidR="006E40DD" w:rsidRPr="00AE279B">
        <w:rPr>
          <w:rStyle w:val="FootnoteReference"/>
          <w:sz w:val="22"/>
          <w:szCs w:val="22"/>
          <w:lang w:val="fr-FR"/>
        </w:rPr>
        <w:footnoteReference w:id="2"/>
      </w:r>
      <w:r w:rsidR="00FF340F">
        <w:rPr>
          <w:rFonts w:cstheme="majorHAnsi"/>
          <w:sz w:val="22"/>
          <w:szCs w:val="22"/>
          <w:lang w:val="fr-FR"/>
        </w:rPr>
        <w:t xml:space="preserve">. </w:t>
      </w:r>
      <w:r w:rsidR="002B099D">
        <w:rPr>
          <w:rFonts w:cstheme="majorHAnsi"/>
          <w:sz w:val="22"/>
          <w:szCs w:val="22"/>
          <w:lang w:val="fr-FR"/>
        </w:rPr>
        <w:t>En effet, l</w:t>
      </w:r>
      <w:r w:rsidR="000411EF">
        <w:rPr>
          <w:rFonts w:cstheme="majorHAnsi"/>
          <w:sz w:val="22"/>
          <w:szCs w:val="22"/>
          <w:lang w:val="fr-FR"/>
        </w:rPr>
        <w:t xml:space="preserve">es PPP ont déjà laissé </w:t>
      </w:r>
      <w:r w:rsidR="004C57BB">
        <w:rPr>
          <w:rFonts w:cstheme="majorHAnsi"/>
          <w:sz w:val="22"/>
          <w:szCs w:val="22"/>
          <w:lang w:val="fr-FR"/>
        </w:rPr>
        <w:t>des legs fiscaux de longue durée</w:t>
      </w:r>
      <w:r w:rsidR="000E4F09">
        <w:rPr>
          <w:rFonts w:cstheme="majorHAnsi"/>
          <w:sz w:val="22"/>
          <w:szCs w:val="22"/>
          <w:lang w:val="fr-FR"/>
        </w:rPr>
        <w:t xml:space="preserve"> </w:t>
      </w:r>
      <w:r w:rsidR="000411EF">
        <w:rPr>
          <w:rFonts w:cstheme="majorHAnsi"/>
          <w:sz w:val="22"/>
          <w:szCs w:val="22"/>
          <w:lang w:val="fr-FR"/>
        </w:rPr>
        <w:t>derrière eu</w:t>
      </w:r>
      <w:r w:rsidR="000E4F09">
        <w:rPr>
          <w:rFonts w:cstheme="majorHAnsi"/>
          <w:sz w:val="22"/>
          <w:szCs w:val="22"/>
          <w:lang w:val="fr-FR"/>
        </w:rPr>
        <w:t xml:space="preserve">x </w:t>
      </w:r>
      <w:r w:rsidR="000411EF">
        <w:rPr>
          <w:rFonts w:cstheme="majorHAnsi"/>
          <w:sz w:val="22"/>
          <w:szCs w:val="22"/>
          <w:lang w:val="fr-FR"/>
        </w:rPr>
        <w:t>dans des pays comme le Portugal, la</w:t>
      </w:r>
      <w:r w:rsidR="00DE68D8">
        <w:rPr>
          <w:rFonts w:cstheme="majorHAnsi"/>
          <w:sz w:val="22"/>
          <w:szCs w:val="22"/>
          <w:lang w:val="fr-FR"/>
        </w:rPr>
        <w:t xml:space="preserve"> </w:t>
      </w:r>
      <w:r w:rsidR="000411EF">
        <w:rPr>
          <w:rFonts w:cstheme="majorHAnsi"/>
          <w:sz w:val="22"/>
          <w:szCs w:val="22"/>
          <w:lang w:val="fr-FR"/>
        </w:rPr>
        <w:t>Hongrie</w:t>
      </w:r>
      <w:r w:rsidR="006E40DD" w:rsidRPr="00AE279B">
        <w:rPr>
          <w:rStyle w:val="FootnoteReference"/>
          <w:rFonts w:cstheme="majorHAnsi"/>
          <w:sz w:val="22"/>
          <w:szCs w:val="22"/>
          <w:lang w:val="fr-FR"/>
        </w:rPr>
        <w:footnoteReference w:id="3"/>
      </w:r>
      <w:r w:rsidR="000411EF">
        <w:rPr>
          <w:rFonts w:cstheme="majorHAnsi"/>
          <w:sz w:val="22"/>
          <w:szCs w:val="22"/>
          <w:lang w:val="fr-FR"/>
        </w:rPr>
        <w:t>, le Ghana, la Tanzanie, l’</w:t>
      </w:r>
      <w:r w:rsidR="00DE2665">
        <w:rPr>
          <w:rFonts w:cstheme="majorHAnsi"/>
          <w:sz w:val="22"/>
          <w:szCs w:val="22"/>
          <w:lang w:val="fr-FR"/>
        </w:rPr>
        <w:t>Ou</w:t>
      </w:r>
      <w:r w:rsidR="000411EF">
        <w:rPr>
          <w:rFonts w:cstheme="majorHAnsi"/>
          <w:sz w:val="22"/>
          <w:szCs w:val="22"/>
          <w:lang w:val="fr-FR"/>
        </w:rPr>
        <w:t>ganda</w:t>
      </w:r>
      <w:r w:rsidR="006E40DD" w:rsidRPr="00AE279B">
        <w:rPr>
          <w:rStyle w:val="FootnoteReference"/>
          <w:rFonts w:cstheme="majorHAnsi"/>
          <w:sz w:val="22"/>
          <w:szCs w:val="22"/>
          <w:lang w:val="fr-FR"/>
        </w:rPr>
        <w:footnoteReference w:id="4"/>
      </w:r>
      <w:r w:rsidR="000411EF">
        <w:rPr>
          <w:rFonts w:cstheme="majorHAnsi"/>
          <w:sz w:val="22"/>
          <w:szCs w:val="22"/>
          <w:lang w:val="fr-FR"/>
        </w:rPr>
        <w:t>, le Pérou</w:t>
      </w:r>
      <w:r w:rsidR="006E40DD" w:rsidRPr="00AE279B">
        <w:rPr>
          <w:rStyle w:val="FootnoteReference"/>
          <w:rFonts w:cstheme="majorHAnsi"/>
          <w:sz w:val="22"/>
          <w:szCs w:val="22"/>
          <w:lang w:val="fr-FR"/>
        </w:rPr>
        <w:footnoteReference w:id="5"/>
      </w:r>
      <w:r w:rsidR="000411EF">
        <w:rPr>
          <w:rFonts w:cstheme="majorHAnsi"/>
          <w:sz w:val="22"/>
          <w:szCs w:val="22"/>
          <w:lang w:val="fr-FR"/>
        </w:rPr>
        <w:t xml:space="preserve"> ou le </w:t>
      </w:r>
      <w:r w:rsidR="002703CC">
        <w:rPr>
          <w:rFonts w:cstheme="majorHAnsi"/>
          <w:sz w:val="22"/>
          <w:szCs w:val="22"/>
          <w:lang w:val="fr-FR"/>
        </w:rPr>
        <w:t>Lesotho</w:t>
      </w:r>
      <w:r w:rsidR="00A93A6B">
        <w:rPr>
          <w:rFonts w:cstheme="majorHAnsi"/>
          <w:sz w:val="22"/>
          <w:szCs w:val="22"/>
          <w:lang w:val="fr-FR"/>
        </w:rPr>
        <w:t xml:space="preserve">, où un hôpital créé </w:t>
      </w:r>
      <w:proofErr w:type="gramStart"/>
      <w:r w:rsidR="00A93A6B">
        <w:rPr>
          <w:rFonts w:cstheme="majorHAnsi"/>
          <w:sz w:val="22"/>
          <w:szCs w:val="22"/>
          <w:lang w:val="fr-FR"/>
        </w:rPr>
        <w:lastRenderedPageBreak/>
        <w:t>dans</w:t>
      </w:r>
      <w:proofErr w:type="gramEnd"/>
      <w:r w:rsidR="00A93A6B">
        <w:rPr>
          <w:rFonts w:cstheme="majorHAnsi"/>
          <w:sz w:val="22"/>
          <w:szCs w:val="22"/>
          <w:lang w:val="fr-FR"/>
        </w:rPr>
        <w:t xml:space="preserve"> le cadre</w:t>
      </w:r>
      <w:r w:rsidR="000411EF">
        <w:rPr>
          <w:rFonts w:cstheme="majorHAnsi"/>
          <w:sz w:val="22"/>
          <w:szCs w:val="22"/>
          <w:lang w:val="fr-FR"/>
        </w:rPr>
        <w:t xml:space="preserve"> d’un PPP a englouti la moitié du budget</w:t>
      </w:r>
      <w:r w:rsidR="00DE68D8">
        <w:rPr>
          <w:rFonts w:cstheme="majorHAnsi"/>
          <w:sz w:val="22"/>
          <w:szCs w:val="22"/>
          <w:lang w:val="fr-FR"/>
        </w:rPr>
        <w:t xml:space="preserve"> national </w:t>
      </w:r>
      <w:r w:rsidR="00BE38F0">
        <w:rPr>
          <w:rFonts w:cstheme="majorHAnsi"/>
          <w:sz w:val="22"/>
          <w:szCs w:val="22"/>
          <w:lang w:val="fr-FR"/>
        </w:rPr>
        <w:t>consacré à la</w:t>
      </w:r>
      <w:r w:rsidR="00F073AC">
        <w:rPr>
          <w:rFonts w:cstheme="majorHAnsi"/>
          <w:sz w:val="22"/>
          <w:szCs w:val="22"/>
          <w:lang w:val="fr-FR"/>
        </w:rPr>
        <w:t xml:space="preserve"> </w:t>
      </w:r>
      <w:r w:rsidR="00DE68D8">
        <w:rPr>
          <w:rFonts w:cstheme="majorHAnsi"/>
          <w:sz w:val="22"/>
          <w:szCs w:val="22"/>
          <w:lang w:val="fr-FR"/>
        </w:rPr>
        <w:t>santé</w:t>
      </w:r>
      <w:r w:rsidR="00B9150A">
        <w:rPr>
          <w:rFonts w:cstheme="majorHAnsi"/>
          <w:sz w:val="22"/>
          <w:szCs w:val="22"/>
          <w:lang w:val="fr-FR"/>
        </w:rPr>
        <w:t>,</w:t>
      </w:r>
      <w:r w:rsidR="000411EF">
        <w:rPr>
          <w:rFonts w:cstheme="majorHAnsi"/>
          <w:sz w:val="22"/>
          <w:szCs w:val="22"/>
          <w:lang w:val="fr-FR"/>
        </w:rPr>
        <w:t xml:space="preserve"> tout en octroyant un retour</w:t>
      </w:r>
      <w:r w:rsidR="00A93A6B">
        <w:rPr>
          <w:rFonts w:cstheme="majorHAnsi"/>
          <w:sz w:val="22"/>
          <w:szCs w:val="22"/>
          <w:lang w:val="fr-FR"/>
        </w:rPr>
        <w:t xml:space="preserve"> conséquent de 25% au prestataire</w:t>
      </w:r>
      <w:r w:rsidR="000411EF">
        <w:rPr>
          <w:rFonts w:cstheme="majorHAnsi"/>
          <w:sz w:val="22"/>
          <w:szCs w:val="22"/>
          <w:lang w:val="fr-FR"/>
        </w:rPr>
        <w:t xml:space="preserve"> du secteur privé</w:t>
      </w:r>
      <w:r w:rsidR="006E40DD" w:rsidRPr="00AE279B">
        <w:rPr>
          <w:rStyle w:val="FootnoteReference"/>
          <w:rFonts w:cstheme="majorHAnsi"/>
          <w:sz w:val="22"/>
          <w:szCs w:val="22"/>
          <w:lang w:val="fr-FR"/>
        </w:rPr>
        <w:footnoteReference w:id="6"/>
      </w:r>
      <w:r w:rsidR="006E40DD">
        <w:rPr>
          <w:rFonts w:cstheme="majorHAnsi"/>
          <w:sz w:val="22"/>
          <w:szCs w:val="22"/>
          <w:lang w:val="fr-FR"/>
        </w:rPr>
        <w:t>.</w:t>
      </w:r>
    </w:p>
    <w:p w14:paraId="1937373F" w14:textId="77777777" w:rsidR="002703CC" w:rsidRPr="002B099D" w:rsidRDefault="002703CC" w:rsidP="00AD058F">
      <w:pPr>
        <w:jc w:val="both"/>
        <w:rPr>
          <w:rFonts w:cstheme="majorHAnsi"/>
          <w:sz w:val="22"/>
          <w:szCs w:val="22"/>
          <w:lang w:val="fr-FR"/>
        </w:rPr>
      </w:pPr>
    </w:p>
    <w:p w14:paraId="764F2521" w14:textId="531036F5" w:rsidR="002703CC" w:rsidRPr="00AE279B" w:rsidRDefault="002703CC" w:rsidP="00AD058F">
      <w:pPr>
        <w:jc w:val="both"/>
        <w:rPr>
          <w:rFonts w:cstheme="majorHAnsi"/>
          <w:sz w:val="22"/>
          <w:szCs w:val="22"/>
          <w:lang w:val="fr-FR"/>
        </w:rPr>
      </w:pPr>
      <w:r>
        <w:rPr>
          <w:rFonts w:cstheme="majorHAnsi"/>
          <w:sz w:val="22"/>
          <w:szCs w:val="22"/>
          <w:lang w:val="fr-FR"/>
        </w:rPr>
        <w:t>Nous regrettons que le GBM n’</w:t>
      </w:r>
      <w:r w:rsidR="00D5124B">
        <w:rPr>
          <w:rFonts w:cstheme="majorHAnsi"/>
          <w:sz w:val="22"/>
          <w:szCs w:val="22"/>
          <w:lang w:val="fr-FR"/>
        </w:rPr>
        <w:t>ait pas accordé</w:t>
      </w:r>
      <w:r>
        <w:rPr>
          <w:rFonts w:cstheme="majorHAnsi"/>
          <w:sz w:val="22"/>
          <w:szCs w:val="22"/>
          <w:lang w:val="fr-FR"/>
        </w:rPr>
        <w:t xml:space="preserve"> </w:t>
      </w:r>
      <w:r w:rsidR="00CB2F37">
        <w:rPr>
          <w:rFonts w:cstheme="majorHAnsi"/>
          <w:sz w:val="22"/>
          <w:szCs w:val="22"/>
          <w:lang w:val="fr-FR"/>
        </w:rPr>
        <w:t>une attention suffisante</w:t>
      </w:r>
      <w:r>
        <w:rPr>
          <w:rFonts w:cstheme="majorHAnsi"/>
          <w:sz w:val="22"/>
          <w:szCs w:val="22"/>
          <w:lang w:val="fr-FR"/>
        </w:rPr>
        <w:t xml:space="preserve"> à ce problème </w:t>
      </w:r>
      <w:r w:rsidR="00DB1F72">
        <w:rPr>
          <w:rFonts w:cstheme="majorHAnsi"/>
          <w:sz w:val="22"/>
          <w:szCs w:val="22"/>
          <w:lang w:val="fr-FR"/>
        </w:rPr>
        <w:t>fondamental</w:t>
      </w:r>
      <w:r w:rsidR="00173E68">
        <w:rPr>
          <w:rFonts w:cstheme="majorHAnsi"/>
          <w:sz w:val="22"/>
          <w:szCs w:val="22"/>
          <w:lang w:val="fr-FR"/>
        </w:rPr>
        <w:t>. Les différent</w:t>
      </w:r>
      <w:r>
        <w:rPr>
          <w:rFonts w:cstheme="majorHAnsi"/>
          <w:sz w:val="22"/>
          <w:szCs w:val="22"/>
          <w:lang w:val="fr-FR"/>
        </w:rPr>
        <w:t>s rapport</w:t>
      </w:r>
      <w:r w:rsidR="00173E68">
        <w:rPr>
          <w:rFonts w:cstheme="majorHAnsi"/>
          <w:sz w:val="22"/>
          <w:szCs w:val="22"/>
          <w:lang w:val="fr-FR"/>
        </w:rPr>
        <w:t xml:space="preserve">s, cadres et guides </w:t>
      </w:r>
      <w:r w:rsidR="00C7136A">
        <w:rPr>
          <w:rFonts w:cstheme="majorHAnsi"/>
          <w:sz w:val="22"/>
          <w:szCs w:val="22"/>
          <w:lang w:val="fr-FR"/>
        </w:rPr>
        <w:t>produits par le GBM</w:t>
      </w:r>
      <w:r w:rsidR="00173E68">
        <w:rPr>
          <w:rFonts w:cstheme="majorHAnsi"/>
          <w:sz w:val="22"/>
          <w:szCs w:val="22"/>
          <w:lang w:val="fr-FR"/>
        </w:rPr>
        <w:t xml:space="preserve"> </w:t>
      </w:r>
      <w:r w:rsidR="00C7136A">
        <w:rPr>
          <w:rFonts w:cstheme="majorHAnsi"/>
          <w:sz w:val="22"/>
          <w:szCs w:val="22"/>
          <w:lang w:val="fr-FR"/>
        </w:rPr>
        <w:t>au fil des an</w:t>
      </w:r>
      <w:r>
        <w:rPr>
          <w:rFonts w:cstheme="majorHAnsi"/>
          <w:sz w:val="22"/>
          <w:szCs w:val="22"/>
          <w:lang w:val="fr-FR"/>
        </w:rPr>
        <w:t>s sont restés ambigus</w:t>
      </w:r>
      <w:r w:rsidR="00173E68">
        <w:rPr>
          <w:rFonts w:cstheme="majorHAnsi"/>
          <w:sz w:val="22"/>
          <w:szCs w:val="22"/>
          <w:lang w:val="fr-FR"/>
        </w:rPr>
        <w:t xml:space="preserve"> quant à l</w:t>
      </w:r>
      <w:r w:rsidR="00DF20C8">
        <w:rPr>
          <w:rFonts w:cstheme="majorHAnsi"/>
          <w:sz w:val="22"/>
          <w:szCs w:val="22"/>
          <w:lang w:val="fr-FR"/>
        </w:rPr>
        <w:t>’avis</w:t>
      </w:r>
      <w:r w:rsidR="00C7136A">
        <w:rPr>
          <w:rFonts w:cstheme="majorHAnsi"/>
          <w:sz w:val="22"/>
          <w:szCs w:val="22"/>
          <w:lang w:val="fr-FR"/>
        </w:rPr>
        <w:t xml:space="preserve"> du GBM sur la question de</w:t>
      </w:r>
      <w:r w:rsidR="002876D9">
        <w:rPr>
          <w:rFonts w:cstheme="majorHAnsi"/>
          <w:sz w:val="22"/>
          <w:szCs w:val="22"/>
          <w:lang w:val="fr-FR"/>
        </w:rPr>
        <w:t xml:space="preserve"> la comptabilisation </w:t>
      </w:r>
      <w:r w:rsidR="00DE1857">
        <w:rPr>
          <w:rFonts w:cstheme="majorHAnsi"/>
          <w:sz w:val="22"/>
          <w:szCs w:val="22"/>
          <w:lang w:val="fr-FR"/>
        </w:rPr>
        <w:t>au bilan</w:t>
      </w:r>
      <w:r w:rsidR="002876D9">
        <w:rPr>
          <w:rFonts w:cstheme="majorHAnsi"/>
          <w:sz w:val="22"/>
          <w:szCs w:val="22"/>
          <w:lang w:val="fr-FR"/>
        </w:rPr>
        <w:t xml:space="preserve"> des</w:t>
      </w:r>
      <w:r w:rsidR="00173E68">
        <w:rPr>
          <w:rFonts w:cstheme="majorHAnsi"/>
          <w:sz w:val="22"/>
          <w:szCs w:val="22"/>
          <w:lang w:val="fr-FR"/>
        </w:rPr>
        <w:t xml:space="preserve"> PPP. </w:t>
      </w:r>
      <w:r w:rsidR="0080154B">
        <w:rPr>
          <w:rFonts w:cstheme="majorHAnsi"/>
          <w:sz w:val="22"/>
          <w:szCs w:val="22"/>
          <w:lang w:val="fr-FR"/>
        </w:rPr>
        <w:t>Une fois de plus</w:t>
      </w:r>
      <w:r w:rsidR="00173E68">
        <w:rPr>
          <w:rFonts w:cstheme="majorHAnsi"/>
          <w:sz w:val="22"/>
          <w:szCs w:val="22"/>
          <w:lang w:val="fr-FR"/>
        </w:rPr>
        <w:t xml:space="preserve">, </w:t>
      </w:r>
      <w:r w:rsidR="00681846">
        <w:rPr>
          <w:rFonts w:cstheme="majorHAnsi"/>
          <w:sz w:val="22"/>
          <w:szCs w:val="22"/>
          <w:lang w:val="fr-FR"/>
        </w:rPr>
        <w:t xml:space="preserve">dans </w:t>
      </w:r>
      <w:r w:rsidR="00173E68">
        <w:rPr>
          <w:rFonts w:cstheme="majorHAnsi"/>
          <w:sz w:val="22"/>
          <w:szCs w:val="22"/>
          <w:lang w:val="fr-FR"/>
        </w:rPr>
        <w:t>ce projet de rapport sur les Dispositions co</w:t>
      </w:r>
      <w:r w:rsidR="0080154B">
        <w:rPr>
          <w:rFonts w:cstheme="majorHAnsi"/>
          <w:sz w:val="22"/>
          <w:szCs w:val="22"/>
          <w:lang w:val="fr-FR"/>
        </w:rPr>
        <w:t>ntractuelles recommandées d</w:t>
      </w:r>
      <w:r w:rsidR="00173E68">
        <w:rPr>
          <w:rFonts w:cstheme="majorHAnsi"/>
          <w:sz w:val="22"/>
          <w:szCs w:val="22"/>
          <w:lang w:val="fr-FR"/>
        </w:rPr>
        <w:t>es PPP</w:t>
      </w:r>
      <w:r w:rsidR="0080154B">
        <w:rPr>
          <w:rFonts w:cstheme="majorHAnsi"/>
          <w:sz w:val="22"/>
          <w:szCs w:val="22"/>
          <w:lang w:val="fr-FR"/>
        </w:rPr>
        <w:t xml:space="preserve">, le GBM </w:t>
      </w:r>
      <w:r w:rsidR="00F306B5">
        <w:rPr>
          <w:rFonts w:cstheme="majorHAnsi"/>
          <w:sz w:val="22"/>
          <w:szCs w:val="22"/>
          <w:lang w:val="fr-FR"/>
        </w:rPr>
        <w:t>se limite à une liste d</w:t>
      </w:r>
      <w:r w:rsidR="00FB3135">
        <w:rPr>
          <w:rFonts w:cstheme="majorHAnsi"/>
          <w:sz w:val="22"/>
          <w:szCs w:val="22"/>
          <w:lang w:val="fr-FR"/>
        </w:rPr>
        <w:t>es préoccupations soulev</w:t>
      </w:r>
      <w:r w:rsidR="00681846">
        <w:rPr>
          <w:rFonts w:cstheme="majorHAnsi"/>
          <w:sz w:val="22"/>
          <w:szCs w:val="22"/>
          <w:lang w:val="fr-FR"/>
        </w:rPr>
        <w:t>ées par d’autres institutio</w:t>
      </w:r>
      <w:r w:rsidR="00F306B5">
        <w:rPr>
          <w:rFonts w:cstheme="majorHAnsi"/>
          <w:sz w:val="22"/>
          <w:szCs w:val="22"/>
          <w:lang w:val="fr-FR"/>
        </w:rPr>
        <w:t xml:space="preserve">ns et ne précise </w:t>
      </w:r>
      <w:r w:rsidR="0054432B">
        <w:rPr>
          <w:rFonts w:cstheme="majorHAnsi"/>
          <w:sz w:val="22"/>
          <w:szCs w:val="22"/>
          <w:lang w:val="fr-FR"/>
        </w:rPr>
        <w:t>pas comment le</w:t>
      </w:r>
      <w:r w:rsidR="00F306B5">
        <w:rPr>
          <w:rFonts w:cstheme="majorHAnsi"/>
          <w:sz w:val="22"/>
          <w:szCs w:val="22"/>
          <w:lang w:val="fr-FR"/>
        </w:rPr>
        <w:t>s</w:t>
      </w:r>
      <w:r w:rsidR="00681846">
        <w:rPr>
          <w:rFonts w:cstheme="majorHAnsi"/>
          <w:sz w:val="22"/>
          <w:szCs w:val="22"/>
          <w:lang w:val="fr-FR"/>
        </w:rPr>
        <w:t xml:space="preserve"> P</w:t>
      </w:r>
      <w:r w:rsidR="00FB3135">
        <w:rPr>
          <w:rFonts w:cstheme="majorHAnsi"/>
          <w:sz w:val="22"/>
          <w:szCs w:val="22"/>
          <w:lang w:val="fr-FR"/>
        </w:rPr>
        <w:t>PP</w:t>
      </w:r>
      <w:r w:rsidR="00FE4A9B">
        <w:rPr>
          <w:rFonts w:cstheme="majorHAnsi"/>
          <w:sz w:val="22"/>
          <w:szCs w:val="22"/>
          <w:lang w:val="fr-FR"/>
        </w:rPr>
        <w:t xml:space="preserve"> </w:t>
      </w:r>
      <w:r w:rsidR="0054432B">
        <w:rPr>
          <w:rFonts w:cstheme="majorHAnsi"/>
          <w:sz w:val="22"/>
          <w:szCs w:val="22"/>
          <w:lang w:val="fr-FR"/>
        </w:rPr>
        <w:t>devraient être comptabilisés</w:t>
      </w:r>
      <w:r w:rsidR="001858BF">
        <w:rPr>
          <w:rFonts w:cstheme="majorHAnsi"/>
          <w:sz w:val="22"/>
          <w:szCs w:val="22"/>
          <w:lang w:val="fr-FR"/>
        </w:rPr>
        <w:t>. Pl</w:t>
      </w:r>
      <w:r w:rsidR="00681846">
        <w:rPr>
          <w:rFonts w:cstheme="majorHAnsi"/>
          <w:sz w:val="22"/>
          <w:szCs w:val="22"/>
          <w:lang w:val="fr-FR"/>
        </w:rPr>
        <w:t xml:space="preserve">us </w:t>
      </w:r>
      <w:r w:rsidR="00FE4A9B">
        <w:rPr>
          <w:rFonts w:cstheme="majorHAnsi"/>
          <w:sz w:val="22"/>
          <w:szCs w:val="22"/>
          <w:lang w:val="fr-FR"/>
        </w:rPr>
        <w:t>important</w:t>
      </w:r>
      <w:r w:rsidR="001858BF">
        <w:rPr>
          <w:rFonts w:cstheme="majorHAnsi"/>
          <w:sz w:val="22"/>
          <w:szCs w:val="22"/>
          <w:lang w:val="fr-FR"/>
        </w:rPr>
        <w:t xml:space="preserve"> encore</w:t>
      </w:r>
      <w:r w:rsidR="00681846">
        <w:rPr>
          <w:rFonts w:cstheme="majorHAnsi"/>
          <w:sz w:val="22"/>
          <w:szCs w:val="22"/>
          <w:lang w:val="fr-FR"/>
        </w:rPr>
        <w:t xml:space="preserve">, </w:t>
      </w:r>
      <w:r w:rsidR="001858BF">
        <w:rPr>
          <w:rFonts w:cstheme="majorHAnsi"/>
          <w:sz w:val="22"/>
          <w:szCs w:val="22"/>
          <w:lang w:val="fr-FR"/>
        </w:rPr>
        <w:t xml:space="preserve">il ne précise pas </w:t>
      </w:r>
      <w:r w:rsidR="00CF7550">
        <w:rPr>
          <w:rFonts w:cstheme="majorHAnsi"/>
          <w:sz w:val="22"/>
          <w:szCs w:val="22"/>
          <w:lang w:val="fr-FR"/>
        </w:rPr>
        <w:t>s’i</w:t>
      </w:r>
      <w:r w:rsidR="007604E9">
        <w:rPr>
          <w:rFonts w:cstheme="majorHAnsi"/>
          <w:sz w:val="22"/>
          <w:szCs w:val="22"/>
          <w:lang w:val="fr-FR"/>
        </w:rPr>
        <w:t xml:space="preserve">l approuverait </w:t>
      </w:r>
      <w:r w:rsidR="00941666">
        <w:rPr>
          <w:rFonts w:cstheme="majorHAnsi"/>
          <w:sz w:val="22"/>
          <w:szCs w:val="22"/>
          <w:lang w:val="fr-FR"/>
        </w:rPr>
        <w:t>un</w:t>
      </w:r>
      <w:r w:rsidR="00A92131">
        <w:rPr>
          <w:rFonts w:cstheme="majorHAnsi"/>
          <w:sz w:val="22"/>
          <w:szCs w:val="22"/>
          <w:lang w:val="fr-FR"/>
        </w:rPr>
        <w:t xml:space="preserve"> </w:t>
      </w:r>
      <w:r w:rsidR="0059734A">
        <w:rPr>
          <w:rFonts w:cstheme="majorHAnsi"/>
          <w:sz w:val="22"/>
          <w:szCs w:val="22"/>
          <w:lang w:val="fr-FR"/>
        </w:rPr>
        <w:t>projet au cas où</w:t>
      </w:r>
      <w:r w:rsidR="00486CEB">
        <w:rPr>
          <w:rFonts w:cstheme="majorHAnsi"/>
          <w:sz w:val="22"/>
          <w:szCs w:val="22"/>
          <w:lang w:val="fr-FR"/>
        </w:rPr>
        <w:t xml:space="preserve"> </w:t>
      </w:r>
      <w:r w:rsidR="00A92131">
        <w:rPr>
          <w:rFonts w:cstheme="majorHAnsi"/>
          <w:sz w:val="22"/>
          <w:szCs w:val="22"/>
          <w:lang w:val="fr-FR"/>
        </w:rPr>
        <w:t>un</w:t>
      </w:r>
      <w:r w:rsidR="00CF7550">
        <w:rPr>
          <w:rFonts w:cstheme="majorHAnsi"/>
          <w:sz w:val="22"/>
          <w:szCs w:val="22"/>
          <w:lang w:val="fr-FR"/>
        </w:rPr>
        <w:t xml:space="preserve"> p</w:t>
      </w:r>
      <w:r w:rsidR="001858BF">
        <w:rPr>
          <w:rFonts w:cstheme="majorHAnsi"/>
          <w:sz w:val="22"/>
          <w:szCs w:val="22"/>
          <w:lang w:val="fr-FR"/>
        </w:rPr>
        <w:t>ays partenaire décidait d’exclure</w:t>
      </w:r>
      <w:r w:rsidR="00CF7550">
        <w:rPr>
          <w:rFonts w:cstheme="majorHAnsi"/>
          <w:sz w:val="22"/>
          <w:szCs w:val="22"/>
          <w:lang w:val="fr-FR"/>
        </w:rPr>
        <w:t xml:space="preserve"> les coûts et le passif de</w:t>
      </w:r>
      <w:r w:rsidR="00400338">
        <w:rPr>
          <w:rFonts w:cstheme="majorHAnsi"/>
          <w:sz w:val="22"/>
          <w:szCs w:val="22"/>
          <w:lang w:val="fr-FR"/>
        </w:rPr>
        <w:t>s livres comptables</w:t>
      </w:r>
      <w:r w:rsidR="00400338" w:rsidRPr="00AE279B">
        <w:rPr>
          <w:rStyle w:val="FootnoteReference"/>
          <w:rFonts w:cstheme="majorHAnsi"/>
          <w:sz w:val="22"/>
          <w:szCs w:val="22"/>
          <w:lang w:val="fr-FR"/>
        </w:rPr>
        <w:footnoteReference w:id="7"/>
      </w:r>
      <w:r w:rsidR="00400338">
        <w:rPr>
          <w:rFonts w:cstheme="majorHAnsi"/>
          <w:sz w:val="22"/>
          <w:szCs w:val="22"/>
          <w:lang w:val="fr-FR"/>
        </w:rPr>
        <w:t>.</w:t>
      </w:r>
    </w:p>
    <w:p w14:paraId="452706E2" w14:textId="77777777" w:rsidR="00D84425" w:rsidRPr="000C2C01" w:rsidRDefault="00D84425" w:rsidP="00CB62E3">
      <w:pPr>
        <w:jc w:val="both"/>
        <w:rPr>
          <w:sz w:val="22"/>
          <w:szCs w:val="22"/>
          <w:lang w:val="fr-FR"/>
        </w:rPr>
      </w:pPr>
    </w:p>
    <w:p w14:paraId="053FD35D" w14:textId="2BB6377A" w:rsidR="00D84425" w:rsidRPr="00AE279B" w:rsidRDefault="00D71C34" w:rsidP="00CB62E3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Il incombe au</w:t>
      </w:r>
      <w:r w:rsidR="00D84425">
        <w:rPr>
          <w:sz w:val="22"/>
          <w:szCs w:val="22"/>
          <w:lang w:val="fr-FR"/>
        </w:rPr>
        <w:t xml:space="preserve"> GBM</w:t>
      </w:r>
      <w:r>
        <w:rPr>
          <w:sz w:val="22"/>
          <w:szCs w:val="22"/>
          <w:lang w:val="fr-FR"/>
        </w:rPr>
        <w:t xml:space="preserve"> </w:t>
      </w:r>
      <w:r w:rsidR="004D7EC9">
        <w:rPr>
          <w:sz w:val="22"/>
          <w:szCs w:val="22"/>
          <w:lang w:val="fr-FR"/>
        </w:rPr>
        <w:t>de veiller à</w:t>
      </w:r>
      <w:r w:rsidR="00CF1D6B">
        <w:rPr>
          <w:sz w:val="22"/>
          <w:szCs w:val="22"/>
          <w:lang w:val="fr-FR"/>
        </w:rPr>
        <w:t xml:space="preserve"> que les gouvernements sélectionnent les mécanismes de financement les plus durables</w:t>
      </w:r>
      <w:r w:rsidR="00A26028">
        <w:rPr>
          <w:sz w:val="22"/>
          <w:szCs w:val="22"/>
          <w:lang w:val="fr-FR"/>
        </w:rPr>
        <w:t xml:space="preserve"> d’un point de vue fiscal</w:t>
      </w:r>
      <w:r w:rsidR="00CF1D6B">
        <w:rPr>
          <w:sz w:val="22"/>
          <w:szCs w:val="22"/>
          <w:lang w:val="fr-FR"/>
        </w:rPr>
        <w:t xml:space="preserve"> à moyen et </w:t>
      </w:r>
      <w:r w:rsidR="00C503BE">
        <w:rPr>
          <w:sz w:val="22"/>
          <w:szCs w:val="22"/>
          <w:lang w:val="fr-FR"/>
        </w:rPr>
        <w:t xml:space="preserve">à </w:t>
      </w:r>
      <w:r w:rsidR="00CF1D6B">
        <w:rPr>
          <w:sz w:val="22"/>
          <w:szCs w:val="22"/>
          <w:lang w:val="fr-FR"/>
        </w:rPr>
        <w:t xml:space="preserve">long terme, </w:t>
      </w:r>
      <w:r w:rsidR="0073632E">
        <w:rPr>
          <w:sz w:val="22"/>
          <w:szCs w:val="22"/>
          <w:lang w:val="fr-FR"/>
        </w:rPr>
        <w:t>et qu’ils n’</w:t>
      </w:r>
      <w:r w:rsidR="009A361D">
        <w:rPr>
          <w:sz w:val="22"/>
          <w:szCs w:val="22"/>
          <w:lang w:val="fr-FR"/>
        </w:rPr>
        <w:t>optent</w:t>
      </w:r>
      <w:r w:rsidR="0073632E">
        <w:rPr>
          <w:sz w:val="22"/>
          <w:szCs w:val="22"/>
          <w:lang w:val="fr-FR"/>
        </w:rPr>
        <w:t xml:space="preserve"> </w:t>
      </w:r>
      <w:r w:rsidR="00CF1D6B">
        <w:rPr>
          <w:sz w:val="22"/>
          <w:szCs w:val="22"/>
          <w:lang w:val="fr-FR"/>
        </w:rPr>
        <w:t>pour des PPP</w:t>
      </w:r>
      <w:r w:rsidR="009A361D">
        <w:rPr>
          <w:sz w:val="22"/>
          <w:szCs w:val="22"/>
          <w:lang w:val="fr-FR"/>
        </w:rPr>
        <w:t xml:space="preserve"> qu’à condition que</w:t>
      </w:r>
      <w:r w:rsidR="0073632E">
        <w:rPr>
          <w:sz w:val="22"/>
          <w:szCs w:val="22"/>
          <w:lang w:val="fr-FR"/>
        </w:rPr>
        <w:t xml:space="preserve"> </w:t>
      </w:r>
      <w:r w:rsidR="00597413">
        <w:rPr>
          <w:sz w:val="22"/>
          <w:szCs w:val="22"/>
          <w:lang w:val="fr-FR"/>
        </w:rPr>
        <w:t>le</w:t>
      </w:r>
      <w:r w:rsidR="00CF1D6B">
        <w:rPr>
          <w:sz w:val="22"/>
          <w:szCs w:val="22"/>
          <w:lang w:val="fr-FR"/>
        </w:rPr>
        <w:t>s coûts et le passif engendré</w:t>
      </w:r>
      <w:r w:rsidR="003A3BED">
        <w:rPr>
          <w:sz w:val="22"/>
          <w:szCs w:val="22"/>
          <w:lang w:val="fr-FR"/>
        </w:rPr>
        <w:t xml:space="preserve"> soien</w:t>
      </w:r>
      <w:r w:rsidR="007F5BF4">
        <w:rPr>
          <w:sz w:val="22"/>
          <w:szCs w:val="22"/>
          <w:lang w:val="fr-FR"/>
        </w:rPr>
        <w:t>t repris</w:t>
      </w:r>
      <w:r w:rsidR="00CF1D6B">
        <w:rPr>
          <w:sz w:val="22"/>
          <w:szCs w:val="22"/>
          <w:lang w:val="fr-FR"/>
        </w:rPr>
        <w:t xml:space="preserve"> dans le bilan comptable. Etant donné la nature urgente de ce problème, nous, en tant que représentants d’organisations de la soci</w:t>
      </w:r>
      <w:r w:rsidR="00DA78F2">
        <w:rPr>
          <w:sz w:val="22"/>
          <w:szCs w:val="22"/>
          <w:lang w:val="fr-FR"/>
        </w:rPr>
        <w:t>été civile, avons</w:t>
      </w:r>
      <w:r w:rsidR="00CF1D6B">
        <w:rPr>
          <w:sz w:val="22"/>
          <w:szCs w:val="22"/>
          <w:lang w:val="fr-FR"/>
        </w:rPr>
        <w:t xml:space="preserve"> décidé de ne plus participer aux consultations publiques sur les PPP jusqu’à ce que le GBM :</w:t>
      </w:r>
    </w:p>
    <w:p w14:paraId="7E89B776" w14:textId="77777777" w:rsidR="00777E6D" w:rsidRPr="00AE279B" w:rsidRDefault="00777E6D" w:rsidP="00CB62E3">
      <w:pPr>
        <w:jc w:val="both"/>
        <w:rPr>
          <w:sz w:val="22"/>
          <w:szCs w:val="22"/>
          <w:lang w:val="fr-FR"/>
        </w:rPr>
      </w:pPr>
    </w:p>
    <w:p w14:paraId="5E1D551E" w14:textId="14AAAB3A" w:rsidR="00901E48" w:rsidRPr="000C2C01" w:rsidRDefault="00224BCD" w:rsidP="00DE2665">
      <w:pPr>
        <w:pStyle w:val="ListParagraph"/>
        <w:numPr>
          <w:ilvl w:val="0"/>
          <w:numId w:val="5"/>
        </w:numPr>
        <w:jc w:val="both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N’a</w:t>
      </w:r>
      <w:r w:rsidR="00901E48" w:rsidRPr="000C2C01">
        <w:rPr>
          <w:rFonts w:eastAsiaTheme="minorEastAsia"/>
          <w:lang w:val="fr-FR"/>
        </w:rPr>
        <w:t>ppelle explicitement et de faç</w:t>
      </w:r>
      <w:r w:rsidR="002F5B8B">
        <w:rPr>
          <w:rFonts w:eastAsiaTheme="minorEastAsia"/>
          <w:lang w:val="fr-FR"/>
        </w:rPr>
        <w:t>on répétée l</w:t>
      </w:r>
      <w:r w:rsidR="00DA78F2" w:rsidRPr="000C2C01">
        <w:rPr>
          <w:rFonts w:eastAsiaTheme="minorEastAsia"/>
          <w:lang w:val="fr-FR"/>
        </w:rPr>
        <w:t>es pays à n’envisag</w:t>
      </w:r>
      <w:r w:rsidR="00901E48" w:rsidRPr="000C2C01">
        <w:rPr>
          <w:rFonts w:eastAsiaTheme="minorEastAsia"/>
          <w:lang w:val="fr-FR"/>
        </w:rPr>
        <w:t xml:space="preserve">er les PPP que si la totalité de leurs coûts et </w:t>
      </w:r>
      <w:r w:rsidR="00DA78F2" w:rsidRPr="000C2C01">
        <w:rPr>
          <w:rFonts w:eastAsiaTheme="minorEastAsia"/>
          <w:lang w:val="fr-FR"/>
        </w:rPr>
        <w:t>du passif</w:t>
      </w:r>
      <w:r w:rsidR="008F66E9" w:rsidRPr="000C2C01">
        <w:rPr>
          <w:rFonts w:eastAsiaTheme="minorEastAsia"/>
          <w:lang w:val="fr-FR"/>
        </w:rPr>
        <w:t xml:space="preserve"> éventuel</w:t>
      </w:r>
      <w:r w:rsidR="00901E48" w:rsidRPr="000C2C01">
        <w:rPr>
          <w:rFonts w:eastAsiaTheme="minorEastAsia"/>
          <w:lang w:val="fr-FR"/>
        </w:rPr>
        <w:t xml:space="preserve"> apparaissent dans le bilan comp</w:t>
      </w:r>
      <w:r w:rsidR="0006280E">
        <w:rPr>
          <w:rFonts w:eastAsiaTheme="minorEastAsia"/>
          <w:lang w:val="fr-FR"/>
        </w:rPr>
        <w:t>table et qu’ils sont inscrits</w:t>
      </w:r>
      <w:r w:rsidR="00901E48" w:rsidRPr="000C2C01">
        <w:rPr>
          <w:rFonts w:eastAsiaTheme="minorEastAsia"/>
          <w:lang w:val="fr-FR"/>
        </w:rPr>
        <w:t xml:space="preserve"> c</w:t>
      </w:r>
      <w:r w:rsidR="001E5E61">
        <w:rPr>
          <w:rFonts w:eastAsiaTheme="minorEastAsia"/>
          <w:lang w:val="fr-FR"/>
        </w:rPr>
        <w:t>omme dette gouvernementale,</w:t>
      </w:r>
      <w:r w:rsidR="008F66E9" w:rsidRPr="000C2C01">
        <w:rPr>
          <w:rFonts w:eastAsiaTheme="minorEastAsia"/>
          <w:lang w:val="fr-FR"/>
        </w:rPr>
        <w:t xml:space="preserve"> seulement</w:t>
      </w:r>
      <w:r w:rsidR="00600BD7" w:rsidRPr="000C2C01">
        <w:rPr>
          <w:rFonts w:eastAsiaTheme="minorEastAsia"/>
          <w:lang w:val="fr-FR"/>
        </w:rPr>
        <w:t xml:space="preserve"> après</w:t>
      </w:r>
      <w:r w:rsidR="006F0B07" w:rsidRPr="000C2C01">
        <w:rPr>
          <w:rFonts w:eastAsiaTheme="minorEastAsia"/>
          <w:lang w:val="fr-FR"/>
        </w:rPr>
        <w:t xml:space="preserve"> une </w:t>
      </w:r>
      <w:r w:rsidR="00901E48" w:rsidRPr="000C2C01">
        <w:rPr>
          <w:rFonts w:eastAsiaTheme="minorEastAsia"/>
          <w:lang w:val="fr-FR"/>
        </w:rPr>
        <w:t xml:space="preserve">analyse complète et transparente des véritables coûts et avantages des PPP tout au long du projet. Cette analyse doit prendre en compte </w:t>
      </w:r>
      <w:r w:rsidR="006F0B07" w:rsidRPr="000C2C01">
        <w:rPr>
          <w:rFonts w:eastAsiaTheme="minorEastAsia"/>
          <w:lang w:val="fr-FR"/>
        </w:rPr>
        <w:t xml:space="preserve">toutes </w:t>
      </w:r>
      <w:r w:rsidR="00901E48" w:rsidRPr="000C2C01">
        <w:rPr>
          <w:rFonts w:eastAsiaTheme="minorEastAsia"/>
          <w:lang w:val="fr-FR"/>
        </w:rPr>
        <w:t>les conséquences fiscales à moyen et</w:t>
      </w:r>
      <w:r w:rsidR="00600BD7" w:rsidRPr="000C2C01">
        <w:rPr>
          <w:rFonts w:eastAsiaTheme="minorEastAsia"/>
          <w:lang w:val="fr-FR"/>
        </w:rPr>
        <w:t xml:space="preserve"> à long terme et permettre de comparer les risques de </w:t>
      </w:r>
      <w:r w:rsidR="00901E48" w:rsidRPr="000C2C01">
        <w:rPr>
          <w:rFonts w:eastAsiaTheme="minorEastAsia"/>
          <w:lang w:val="fr-FR"/>
        </w:rPr>
        <w:t>chaque option.</w:t>
      </w:r>
    </w:p>
    <w:p w14:paraId="41C8634D" w14:textId="2813C12A" w:rsidR="00901E48" w:rsidRPr="000C2C01" w:rsidRDefault="00901E48" w:rsidP="00AD058F">
      <w:pPr>
        <w:pStyle w:val="ListParagraph"/>
        <w:numPr>
          <w:ilvl w:val="0"/>
          <w:numId w:val="5"/>
        </w:numPr>
        <w:jc w:val="both"/>
        <w:rPr>
          <w:rFonts w:eastAsiaTheme="minorEastAsia"/>
          <w:lang w:val="fr-FR"/>
        </w:rPr>
      </w:pPr>
      <w:r w:rsidRPr="000C2C01">
        <w:rPr>
          <w:rFonts w:eastAsiaTheme="minorEastAsia"/>
          <w:lang w:val="fr-FR"/>
        </w:rPr>
        <w:t>N’approuve des projets de PPP qu’à condition que le pays partenaire décide d’inscrire les coûts et le</w:t>
      </w:r>
      <w:r w:rsidR="00055F28" w:rsidRPr="000C2C01">
        <w:rPr>
          <w:rFonts w:eastAsiaTheme="minorEastAsia"/>
          <w:lang w:val="fr-FR"/>
        </w:rPr>
        <w:t>s passifs dans son bilan</w:t>
      </w:r>
      <w:r w:rsidRPr="000C2C01">
        <w:rPr>
          <w:rFonts w:eastAsiaTheme="minorEastAsia"/>
          <w:lang w:val="fr-FR"/>
        </w:rPr>
        <w:t>.</w:t>
      </w:r>
    </w:p>
    <w:p w14:paraId="3931BA1E" w14:textId="22FDBC71" w:rsidR="002B00B6" w:rsidRPr="00AE279B" w:rsidRDefault="002B00B6" w:rsidP="00AD058F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Nous vous encourageons à donner priorité à </w:t>
      </w:r>
      <w:r w:rsidR="003D7163">
        <w:rPr>
          <w:sz w:val="22"/>
          <w:szCs w:val="22"/>
          <w:lang w:val="fr-FR"/>
        </w:rPr>
        <w:t>cette question et à</w:t>
      </w:r>
      <w:r w:rsidR="00084E76">
        <w:rPr>
          <w:sz w:val="22"/>
          <w:szCs w:val="22"/>
          <w:lang w:val="fr-FR"/>
        </w:rPr>
        <w:t xml:space="preserve"> donner suite à nos revendication</w:t>
      </w:r>
      <w:r>
        <w:rPr>
          <w:sz w:val="22"/>
          <w:szCs w:val="22"/>
          <w:lang w:val="fr-FR"/>
        </w:rPr>
        <w:t>s.</w:t>
      </w:r>
    </w:p>
    <w:p w14:paraId="4657E958" w14:textId="77777777" w:rsidR="002B00B6" w:rsidRPr="00084E76" w:rsidRDefault="002B00B6" w:rsidP="00AD058F">
      <w:pPr>
        <w:jc w:val="both"/>
        <w:rPr>
          <w:sz w:val="22"/>
          <w:szCs w:val="22"/>
          <w:lang w:val="fr-FR"/>
        </w:rPr>
      </w:pPr>
    </w:p>
    <w:p w14:paraId="359FAC7C" w14:textId="7C1EB946" w:rsidR="002B00B6" w:rsidRPr="00AE279B" w:rsidRDefault="003D7163" w:rsidP="00AD058F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Dans l’attente de </w:t>
      </w:r>
      <w:r w:rsidR="008919B8">
        <w:rPr>
          <w:sz w:val="22"/>
          <w:szCs w:val="22"/>
          <w:lang w:val="fr-FR"/>
        </w:rPr>
        <w:t>votre réponse</w:t>
      </w:r>
      <w:r w:rsidR="00947631">
        <w:rPr>
          <w:sz w:val="22"/>
          <w:szCs w:val="22"/>
          <w:lang w:val="fr-FR"/>
        </w:rPr>
        <w:t>,</w:t>
      </w:r>
    </w:p>
    <w:p w14:paraId="1821C39F" w14:textId="77777777" w:rsidR="00AD058F" w:rsidRPr="00AE279B" w:rsidRDefault="00AD058F" w:rsidP="00AD058F">
      <w:pPr>
        <w:jc w:val="both"/>
        <w:rPr>
          <w:sz w:val="22"/>
          <w:szCs w:val="22"/>
          <w:lang w:val="fr-FR"/>
        </w:rPr>
      </w:pPr>
    </w:p>
    <w:p w14:paraId="2EB6FC0E" w14:textId="7067A598" w:rsidR="00947631" w:rsidRPr="004F5AA6" w:rsidRDefault="00947631" w:rsidP="00AD058F">
      <w:pPr>
        <w:jc w:val="both"/>
        <w:rPr>
          <w:sz w:val="22"/>
          <w:szCs w:val="22"/>
          <w:u w:val="single"/>
          <w:lang w:val="fr-FR"/>
        </w:rPr>
      </w:pPr>
      <w:r w:rsidRPr="004F5AA6">
        <w:rPr>
          <w:sz w:val="22"/>
          <w:szCs w:val="22"/>
          <w:u w:val="single"/>
          <w:lang w:val="fr-FR"/>
        </w:rPr>
        <w:t>Liste des signataires :</w:t>
      </w:r>
    </w:p>
    <w:p w14:paraId="3F5CC1A7" w14:textId="77777777" w:rsidR="00AD058F" w:rsidRPr="00AE279B" w:rsidRDefault="00AD058F" w:rsidP="00AD058F">
      <w:pPr>
        <w:jc w:val="both"/>
        <w:rPr>
          <w:sz w:val="22"/>
          <w:szCs w:val="22"/>
          <w:lang w:val="fr-FR"/>
        </w:rPr>
      </w:pPr>
    </w:p>
    <w:p w14:paraId="32C11886" w14:textId="34D6AC37" w:rsidR="00DF373B" w:rsidRPr="00AE279B" w:rsidRDefault="00DF373B" w:rsidP="00B76C54">
      <w:pPr>
        <w:jc w:val="both"/>
        <w:rPr>
          <w:sz w:val="22"/>
          <w:szCs w:val="22"/>
          <w:lang w:val="fr-FR"/>
        </w:rPr>
      </w:pPr>
      <w:r w:rsidRPr="00AE279B">
        <w:rPr>
          <w:sz w:val="22"/>
          <w:szCs w:val="22"/>
          <w:lang w:val="fr-FR"/>
        </w:rPr>
        <w:t>Eurodad</w:t>
      </w:r>
    </w:p>
    <w:p w14:paraId="5C1FA706" w14:textId="77777777" w:rsidR="00BD2371" w:rsidRPr="00AE279B" w:rsidRDefault="00BD2371" w:rsidP="00B76C54">
      <w:pPr>
        <w:jc w:val="both"/>
        <w:rPr>
          <w:sz w:val="22"/>
          <w:szCs w:val="22"/>
          <w:lang w:val="fr-FR"/>
        </w:rPr>
      </w:pPr>
    </w:p>
    <w:p w14:paraId="688D30DC" w14:textId="77777777" w:rsidR="004F5AA6" w:rsidRPr="00FC718F" w:rsidRDefault="004F5AA6" w:rsidP="004F5A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Counter Balance </w:t>
      </w:r>
      <w:r>
        <w:rPr>
          <w:sz w:val="22"/>
          <w:szCs w:val="22"/>
        </w:rPr>
        <w:tab/>
      </w:r>
    </w:p>
    <w:p w14:paraId="0B9847D5" w14:textId="77777777" w:rsidR="004F5AA6" w:rsidRPr="00FC718F" w:rsidRDefault="004F5AA6" w:rsidP="004F5AA6">
      <w:pPr>
        <w:jc w:val="both"/>
        <w:rPr>
          <w:sz w:val="22"/>
          <w:szCs w:val="22"/>
        </w:rPr>
      </w:pPr>
    </w:p>
    <w:p w14:paraId="6C087D09" w14:textId="77777777" w:rsidR="004F5AA6" w:rsidRDefault="004F5AA6" w:rsidP="004F5AA6">
      <w:pPr>
        <w:jc w:val="both"/>
        <w:rPr>
          <w:sz w:val="22"/>
          <w:szCs w:val="22"/>
        </w:rPr>
      </w:pPr>
      <w:r>
        <w:rPr>
          <w:sz w:val="22"/>
          <w:szCs w:val="22"/>
        </w:rPr>
        <w:t>Public Service International (PSI)</w:t>
      </w:r>
    </w:p>
    <w:p w14:paraId="1CB1A720" w14:textId="77777777" w:rsidR="004F5AA6" w:rsidRDefault="004F5AA6" w:rsidP="004F5AA6">
      <w:pPr>
        <w:jc w:val="both"/>
        <w:rPr>
          <w:sz w:val="22"/>
          <w:szCs w:val="22"/>
        </w:rPr>
      </w:pPr>
    </w:p>
    <w:p w14:paraId="66653CFB" w14:textId="77777777" w:rsidR="004F5AA6" w:rsidRDefault="004F5AA6" w:rsidP="004F5AA6">
      <w:pPr>
        <w:jc w:val="both"/>
        <w:rPr>
          <w:sz w:val="22"/>
          <w:szCs w:val="22"/>
        </w:rPr>
      </w:pPr>
      <w:r>
        <w:rPr>
          <w:sz w:val="22"/>
          <w:szCs w:val="22"/>
        </w:rPr>
        <w:t>Bretton Woods Project</w:t>
      </w:r>
    </w:p>
    <w:p w14:paraId="54E15887" w14:textId="77777777" w:rsidR="004F5AA6" w:rsidRDefault="004F5AA6" w:rsidP="004F5AA6">
      <w:pPr>
        <w:jc w:val="both"/>
        <w:rPr>
          <w:sz w:val="22"/>
          <w:szCs w:val="22"/>
        </w:rPr>
      </w:pPr>
    </w:p>
    <w:p w14:paraId="640E09BC" w14:textId="77777777" w:rsidR="004F5AA6" w:rsidRDefault="004F5AA6" w:rsidP="004F5AA6">
      <w:pPr>
        <w:jc w:val="both"/>
        <w:rPr>
          <w:sz w:val="22"/>
          <w:szCs w:val="22"/>
        </w:rPr>
      </w:pPr>
      <w:r>
        <w:rPr>
          <w:sz w:val="22"/>
          <w:szCs w:val="22"/>
        </w:rPr>
        <w:t>UNISON</w:t>
      </w:r>
    </w:p>
    <w:p w14:paraId="09985135" w14:textId="77777777" w:rsidR="004F5AA6" w:rsidRDefault="004F5AA6" w:rsidP="004F5AA6">
      <w:pPr>
        <w:jc w:val="both"/>
        <w:rPr>
          <w:sz w:val="22"/>
          <w:szCs w:val="22"/>
        </w:rPr>
      </w:pPr>
    </w:p>
    <w:p w14:paraId="337024EA" w14:textId="77777777" w:rsidR="004F5AA6" w:rsidRDefault="004F5AA6" w:rsidP="004F5AA6">
      <w:pPr>
        <w:jc w:val="both"/>
        <w:rPr>
          <w:sz w:val="22"/>
          <w:szCs w:val="22"/>
        </w:rPr>
      </w:pPr>
      <w:proofErr w:type="spellStart"/>
      <w:r w:rsidRPr="005641AF">
        <w:rPr>
          <w:sz w:val="22"/>
          <w:szCs w:val="22"/>
        </w:rPr>
        <w:t>Fundación</w:t>
      </w:r>
      <w:proofErr w:type="spellEnd"/>
      <w:r w:rsidRPr="005641AF">
        <w:rPr>
          <w:sz w:val="22"/>
          <w:szCs w:val="22"/>
        </w:rPr>
        <w:t xml:space="preserve"> </w:t>
      </w:r>
      <w:proofErr w:type="spellStart"/>
      <w:r w:rsidRPr="005641AF">
        <w:rPr>
          <w:sz w:val="22"/>
          <w:szCs w:val="22"/>
        </w:rPr>
        <w:t>Manatí</w:t>
      </w:r>
      <w:proofErr w:type="spellEnd"/>
      <w:r w:rsidRPr="005641AF">
        <w:rPr>
          <w:sz w:val="22"/>
          <w:szCs w:val="22"/>
        </w:rPr>
        <w:t xml:space="preserve"> para el </w:t>
      </w:r>
      <w:proofErr w:type="spellStart"/>
      <w:r w:rsidRPr="005641AF">
        <w:rPr>
          <w:sz w:val="22"/>
          <w:szCs w:val="22"/>
        </w:rPr>
        <w:t>Fomento</w:t>
      </w:r>
      <w:proofErr w:type="spellEnd"/>
      <w:r w:rsidRPr="005641AF">
        <w:rPr>
          <w:sz w:val="22"/>
          <w:szCs w:val="22"/>
        </w:rPr>
        <w:t xml:space="preserve"> de la </w:t>
      </w:r>
      <w:proofErr w:type="spellStart"/>
      <w:r w:rsidRPr="005641AF">
        <w:rPr>
          <w:sz w:val="22"/>
          <w:szCs w:val="22"/>
        </w:rPr>
        <w:t>Ciudadanía</w:t>
      </w:r>
      <w:proofErr w:type="spellEnd"/>
      <w:r w:rsidRPr="005641AF">
        <w:rPr>
          <w:sz w:val="22"/>
          <w:szCs w:val="22"/>
        </w:rPr>
        <w:t xml:space="preserve"> A.C</w:t>
      </w:r>
    </w:p>
    <w:p w14:paraId="7044E37F" w14:textId="77777777" w:rsidR="004F5AA6" w:rsidRDefault="004F5AA6" w:rsidP="004F5AA6">
      <w:pPr>
        <w:jc w:val="both"/>
        <w:rPr>
          <w:sz w:val="22"/>
          <w:szCs w:val="22"/>
        </w:rPr>
      </w:pPr>
    </w:p>
    <w:p w14:paraId="1DD86BB6" w14:textId="77777777" w:rsidR="004F5AA6" w:rsidRDefault="004F5AA6" w:rsidP="004F5AA6">
      <w:pPr>
        <w:jc w:val="both"/>
      </w:pPr>
      <w:r w:rsidRPr="005641AF">
        <w:rPr>
          <w:sz w:val="22"/>
          <w:szCs w:val="22"/>
        </w:rPr>
        <w:t>Society for International Development (SID)</w:t>
      </w:r>
      <w:r w:rsidRPr="005641AF">
        <w:t> </w:t>
      </w:r>
    </w:p>
    <w:p w14:paraId="12A8E03D" w14:textId="77777777" w:rsidR="004F5AA6" w:rsidRDefault="004F5AA6" w:rsidP="004F5AA6">
      <w:pPr>
        <w:jc w:val="both"/>
      </w:pPr>
    </w:p>
    <w:p w14:paraId="73AF43B2" w14:textId="590B9FD4" w:rsidR="004F5AA6" w:rsidRPr="005641AF" w:rsidRDefault="004F5AA6" w:rsidP="004F5AA6">
      <w:pPr>
        <w:jc w:val="both"/>
        <w:rPr>
          <w:sz w:val="22"/>
          <w:szCs w:val="22"/>
        </w:rPr>
      </w:pPr>
      <w:r w:rsidRPr="005641AF">
        <w:rPr>
          <w:sz w:val="22"/>
          <w:szCs w:val="22"/>
        </w:rPr>
        <w:t>Centre for Human Rig</w:t>
      </w:r>
      <w:r>
        <w:rPr>
          <w:sz w:val="22"/>
          <w:szCs w:val="22"/>
        </w:rPr>
        <w:t>hts and Climate Change Research</w:t>
      </w:r>
      <w:bookmarkStart w:id="0" w:name="_GoBack"/>
      <w:bookmarkEnd w:id="0"/>
    </w:p>
    <w:p w14:paraId="25C50511" w14:textId="77777777" w:rsidR="004F5AA6" w:rsidRPr="00EE1E9E" w:rsidRDefault="004F5AA6" w:rsidP="004F5AA6">
      <w:pPr>
        <w:jc w:val="both"/>
        <w:rPr>
          <w:sz w:val="22"/>
          <w:szCs w:val="22"/>
        </w:rPr>
      </w:pPr>
    </w:p>
    <w:p w14:paraId="12602B54" w14:textId="77777777" w:rsidR="004F5AA6" w:rsidRPr="00EE1E9E" w:rsidRDefault="004F5AA6" w:rsidP="004F5AA6">
      <w:pPr>
        <w:jc w:val="both"/>
        <w:rPr>
          <w:sz w:val="22"/>
          <w:szCs w:val="22"/>
        </w:rPr>
      </w:pPr>
      <w:r w:rsidRPr="00EE1E9E">
        <w:rPr>
          <w:sz w:val="22"/>
          <w:szCs w:val="22"/>
        </w:rPr>
        <w:t>11.11.11- Coalition of the Flemish North-South Movement</w:t>
      </w:r>
    </w:p>
    <w:p w14:paraId="0E6AFA4E" w14:textId="77777777" w:rsidR="004F5AA6" w:rsidRDefault="004F5AA6" w:rsidP="004F5AA6">
      <w:pPr>
        <w:jc w:val="both"/>
        <w:rPr>
          <w:sz w:val="22"/>
          <w:szCs w:val="22"/>
        </w:rPr>
      </w:pPr>
    </w:p>
    <w:p w14:paraId="39112C12" w14:textId="77777777" w:rsidR="004F5AA6" w:rsidRDefault="004F5AA6" w:rsidP="004F5A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Jubilee Debt Campaign </w:t>
      </w:r>
    </w:p>
    <w:p w14:paraId="62D48F0B" w14:textId="77777777" w:rsidR="004F5AA6" w:rsidRDefault="004F5AA6" w:rsidP="004F5AA6">
      <w:pPr>
        <w:jc w:val="both"/>
        <w:rPr>
          <w:sz w:val="22"/>
          <w:szCs w:val="22"/>
        </w:rPr>
      </w:pPr>
    </w:p>
    <w:p w14:paraId="0F809767" w14:textId="77777777" w:rsidR="004F5AA6" w:rsidRDefault="004F5AA6" w:rsidP="004F5AA6">
      <w:pPr>
        <w:jc w:val="both"/>
        <w:rPr>
          <w:sz w:val="22"/>
          <w:szCs w:val="22"/>
        </w:rPr>
      </w:pPr>
      <w:r>
        <w:rPr>
          <w:sz w:val="22"/>
          <w:szCs w:val="22"/>
        </w:rPr>
        <w:t>Kenya Debt Relief Network (KENDREN)</w:t>
      </w:r>
    </w:p>
    <w:p w14:paraId="533D0E4D" w14:textId="77777777" w:rsidR="004F5AA6" w:rsidRDefault="004F5AA6" w:rsidP="004F5AA6">
      <w:pPr>
        <w:jc w:val="both"/>
        <w:rPr>
          <w:sz w:val="22"/>
          <w:szCs w:val="22"/>
        </w:rPr>
      </w:pPr>
    </w:p>
    <w:p w14:paraId="685A8F8A" w14:textId="77777777" w:rsidR="004F5AA6" w:rsidRDefault="004F5AA6" w:rsidP="004F5AA6">
      <w:pPr>
        <w:jc w:val="both"/>
      </w:pPr>
      <w:r w:rsidRPr="000A7BAF">
        <w:rPr>
          <w:sz w:val="22"/>
          <w:szCs w:val="22"/>
        </w:rPr>
        <w:t>CNCD-11.11.11</w:t>
      </w:r>
      <w:r w:rsidRPr="000A7BAF">
        <w:t> </w:t>
      </w:r>
    </w:p>
    <w:p w14:paraId="75418CBA" w14:textId="77777777" w:rsidR="004F5AA6" w:rsidRPr="001F2C2F" w:rsidRDefault="004F5AA6" w:rsidP="004F5AA6">
      <w:pPr>
        <w:jc w:val="both"/>
        <w:rPr>
          <w:sz w:val="22"/>
          <w:szCs w:val="22"/>
        </w:rPr>
      </w:pPr>
    </w:p>
    <w:p w14:paraId="6EC0B57A" w14:textId="77777777" w:rsidR="004F5AA6" w:rsidRDefault="004F5AA6" w:rsidP="004F5AA6">
      <w:pPr>
        <w:jc w:val="both"/>
        <w:rPr>
          <w:sz w:val="22"/>
          <w:szCs w:val="22"/>
        </w:rPr>
      </w:pPr>
      <w:r w:rsidRPr="001F2C2F">
        <w:rPr>
          <w:sz w:val="22"/>
          <w:szCs w:val="22"/>
        </w:rPr>
        <w:t>WEED - World Economy, Ecology &amp; Development</w:t>
      </w:r>
    </w:p>
    <w:p w14:paraId="19B0EA91" w14:textId="77777777" w:rsidR="00BD2371" w:rsidRPr="00AE279B" w:rsidRDefault="00BD2371" w:rsidP="00B76C54">
      <w:pPr>
        <w:jc w:val="both"/>
        <w:rPr>
          <w:sz w:val="22"/>
          <w:szCs w:val="22"/>
          <w:lang w:val="fr-FR"/>
        </w:rPr>
      </w:pPr>
    </w:p>
    <w:p w14:paraId="7135A6DE" w14:textId="77777777" w:rsidR="00BD2371" w:rsidRPr="00AE279B" w:rsidRDefault="00BD2371" w:rsidP="00B76C54">
      <w:pPr>
        <w:jc w:val="both"/>
        <w:rPr>
          <w:sz w:val="22"/>
          <w:szCs w:val="22"/>
          <w:lang w:val="fr-FR"/>
        </w:rPr>
      </w:pPr>
    </w:p>
    <w:p w14:paraId="61075F12" w14:textId="77777777" w:rsidR="00B76C54" w:rsidRPr="00AE279B" w:rsidRDefault="00247EDC" w:rsidP="00B76C54">
      <w:pPr>
        <w:jc w:val="both"/>
        <w:rPr>
          <w:rFonts w:asciiTheme="majorHAnsi" w:hAnsiTheme="majorHAnsi"/>
          <w:lang w:val="fr-FR"/>
        </w:rPr>
      </w:pPr>
      <w:r w:rsidRPr="00AE279B">
        <w:rPr>
          <w:sz w:val="22"/>
          <w:szCs w:val="22"/>
          <w:lang w:val="fr-FR"/>
        </w:rPr>
        <w:t xml:space="preserve"> </w:t>
      </w:r>
      <w:r w:rsidR="00B76C54" w:rsidRPr="00AE279B">
        <w:rPr>
          <w:sz w:val="22"/>
          <w:szCs w:val="22"/>
          <w:lang w:val="fr-FR"/>
        </w:rPr>
        <w:br/>
      </w:r>
    </w:p>
    <w:sectPr w:rsidR="00B76C54" w:rsidRPr="00AE279B" w:rsidSect="00A72E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2E5F7" w14:textId="77777777" w:rsidR="00DE2665" w:rsidRDefault="00DE2665" w:rsidP="00F72984">
      <w:r>
        <w:separator/>
      </w:r>
    </w:p>
  </w:endnote>
  <w:endnote w:type="continuationSeparator" w:id="0">
    <w:p w14:paraId="2EA673D6" w14:textId="77777777" w:rsidR="00DE2665" w:rsidRDefault="00DE2665" w:rsidP="00F7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1E6B" w14:textId="77777777" w:rsidR="00DE2665" w:rsidRDefault="00DE2665" w:rsidP="00F72984">
      <w:r>
        <w:separator/>
      </w:r>
    </w:p>
  </w:footnote>
  <w:footnote w:type="continuationSeparator" w:id="0">
    <w:p w14:paraId="49157B48" w14:textId="77777777" w:rsidR="00DE2665" w:rsidRDefault="00DE2665" w:rsidP="00F72984">
      <w:r>
        <w:continuationSeparator/>
      </w:r>
    </w:p>
  </w:footnote>
  <w:footnote w:id="1">
    <w:p w14:paraId="79F0C855" w14:textId="3B5B2E5F" w:rsidR="00DE2665" w:rsidRPr="0003677D" w:rsidRDefault="00DE2665" w:rsidP="006E40DD">
      <w:pPr>
        <w:pStyle w:val="FootnoteText"/>
        <w:jc w:val="left"/>
        <w:rPr>
          <w:lang w:val="fr-FR"/>
        </w:rPr>
      </w:pPr>
      <w:r w:rsidRPr="0003677D">
        <w:rPr>
          <w:rStyle w:val="FootnoteReference"/>
          <w:lang w:val="fr-FR"/>
        </w:rPr>
        <w:footnoteRef/>
      </w:r>
      <w:r w:rsidRPr="0003677D">
        <w:rPr>
          <w:lang w:val="fr-FR"/>
        </w:rPr>
        <w:t xml:space="preserve"> BEI. (2016). Guide sur le traitement statistique des PPP. Voir : http://www.eib.org/epec/resources/publications/epec_eurostat_guide_ppp</w:t>
      </w:r>
    </w:p>
  </w:footnote>
  <w:footnote w:id="2">
    <w:p w14:paraId="733DB857" w14:textId="07D2413C" w:rsidR="00DE2665" w:rsidRPr="0003677D" w:rsidRDefault="00DE2665" w:rsidP="006E40DD">
      <w:pPr>
        <w:pStyle w:val="FootnoteText"/>
        <w:jc w:val="left"/>
        <w:rPr>
          <w:lang w:val="fr-FR"/>
        </w:rPr>
      </w:pPr>
      <w:r w:rsidRPr="0003677D">
        <w:rPr>
          <w:rStyle w:val="FootnoteReference"/>
          <w:lang w:val="fr-FR"/>
        </w:rPr>
        <w:footnoteRef/>
      </w:r>
      <w:r w:rsidRPr="0003677D">
        <w:rPr>
          <w:lang w:val="fr-FR"/>
        </w:rPr>
        <w:t xml:space="preserve"> Jin, R. et Rial, I. (2016). </w:t>
      </w:r>
      <w:r w:rsidRPr="0003677D">
        <w:rPr>
          <w:i/>
          <w:lang w:val="fr-FR"/>
        </w:rPr>
        <w:t>Regulating Local Government Financing Vehicles and Public-Private Partnerships in China</w:t>
      </w:r>
      <w:r w:rsidRPr="0003677D">
        <w:rPr>
          <w:lang w:val="fr-FR"/>
        </w:rPr>
        <w:t>. FMI. Voir : https://www.imf.org/external/pubs/ft/wp/2016/wp16187.pdf</w:t>
      </w:r>
    </w:p>
  </w:footnote>
  <w:footnote w:id="3">
    <w:p w14:paraId="3C734880" w14:textId="62ED54F0" w:rsidR="00DE2665" w:rsidRPr="0003677D" w:rsidRDefault="00DE2665" w:rsidP="006E40DD">
      <w:pPr>
        <w:pStyle w:val="FootnoteText"/>
        <w:jc w:val="left"/>
        <w:rPr>
          <w:lang w:val="fr-FR"/>
        </w:rPr>
      </w:pPr>
      <w:r w:rsidRPr="0003677D">
        <w:rPr>
          <w:rStyle w:val="FootnoteReference"/>
          <w:lang w:val="fr-FR"/>
        </w:rPr>
        <w:footnoteRef/>
      </w:r>
      <w:r w:rsidRPr="0003677D">
        <w:rPr>
          <w:lang w:val="fr-FR"/>
        </w:rPr>
        <w:t xml:space="preserve"> Romero, M. (2015). La partie immergée de l’iceberg. Une évaluation critique des partenariats public-privé et de leur impact sur le développement durable. Eurodad. Voir : http://www.eurodad.org/files/pdf/55deea6309dbd.pdf</w:t>
      </w:r>
    </w:p>
  </w:footnote>
  <w:footnote w:id="4">
    <w:p w14:paraId="52EB7DE4" w14:textId="1316F1D3" w:rsidR="00DE2665" w:rsidRPr="0003677D" w:rsidRDefault="00DE2665" w:rsidP="006E40DD">
      <w:pPr>
        <w:pStyle w:val="FootnoteText"/>
        <w:jc w:val="left"/>
        <w:rPr>
          <w:lang w:val="fr-FR"/>
        </w:rPr>
      </w:pPr>
      <w:r w:rsidRPr="0003677D">
        <w:rPr>
          <w:rStyle w:val="FootnoteReference"/>
          <w:lang w:val="fr-FR"/>
        </w:rPr>
        <w:footnoteRef/>
      </w:r>
      <w:r w:rsidRPr="0003677D">
        <w:rPr>
          <w:lang w:val="fr-FR"/>
        </w:rPr>
        <w:t xml:space="preserve"> Anaba, B. et Clifton, S-J. 11 Novembre 2015. </w:t>
      </w:r>
      <w:r w:rsidRPr="0003677D">
        <w:rPr>
          <w:i/>
          <w:lang w:val="fr-FR"/>
        </w:rPr>
        <w:t>Proof is piling up that private sector finance is not an easy development fix</w:t>
      </w:r>
      <w:r w:rsidRPr="0003677D">
        <w:rPr>
          <w:lang w:val="fr-FR"/>
        </w:rPr>
        <w:t xml:space="preserve">. The Guardian. Voir : </w:t>
      </w:r>
    </w:p>
    <w:p w14:paraId="2F4964D4" w14:textId="77777777" w:rsidR="00DE2665" w:rsidRPr="0003677D" w:rsidRDefault="00DE2665" w:rsidP="006E40DD">
      <w:pPr>
        <w:pStyle w:val="FootnoteText"/>
        <w:jc w:val="left"/>
        <w:rPr>
          <w:lang w:val="fr-FR"/>
        </w:rPr>
      </w:pPr>
      <w:r w:rsidRPr="0003677D">
        <w:rPr>
          <w:lang w:val="fr-FR"/>
        </w:rPr>
        <w:t xml:space="preserve"> http://www.theguardian.com/global-development/2015/nov/11/private-sector-finance-not-easy-development-fix-public-private-partnerships?CMP=twt_gu?CMP=twt_gu</w:t>
      </w:r>
    </w:p>
  </w:footnote>
  <w:footnote w:id="5">
    <w:p w14:paraId="3B22DEF3" w14:textId="74D95A1E" w:rsidR="00DE2665" w:rsidRPr="0003677D" w:rsidRDefault="00DE2665" w:rsidP="006E40DD">
      <w:pPr>
        <w:pStyle w:val="FootnoteText"/>
        <w:jc w:val="left"/>
        <w:rPr>
          <w:lang w:val="fr-FR"/>
        </w:rPr>
      </w:pPr>
      <w:r w:rsidRPr="0003677D">
        <w:rPr>
          <w:rStyle w:val="FootnoteReference"/>
          <w:lang w:val="fr-FR"/>
        </w:rPr>
        <w:footnoteRef/>
      </w:r>
      <w:r w:rsidRPr="0003677D">
        <w:rPr>
          <w:lang w:val="fr-FR"/>
        </w:rPr>
        <w:t xml:space="preserve"> Aslan, C. (2014). </w:t>
      </w:r>
      <w:r w:rsidRPr="0003677D">
        <w:rPr>
          <w:i/>
          <w:lang w:val="fr-FR"/>
        </w:rPr>
        <w:t>How Do Countries Measure, Manage and Monitor Fiscal Risks Generated by Public Private Partnerships ? Chile, Peru, South Africa, Turkey.</w:t>
      </w:r>
      <w:r w:rsidRPr="0003677D">
        <w:rPr>
          <w:lang w:val="fr-FR"/>
        </w:rPr>
        <w:t xml:space="preserve"> Banque mondiale. Voir : http://www. worldbank.org/content/dam/Worldbank/document/ Debt/Presentation%20Cigdem%20New%20Avenues.pdf</w:t>
      </w:r>
    </w:p>
  </w:footnote>
  <w:footnote w:id="6">
    <w:p w14:paraId="2D51C7BE" w14:textId="7D57863B" w:rsidR="00DE2665" w:rsidRPr="0003677D" w:rsidRDefault="00DE2665" w:rsidP="006E40DD">
      <w:pPr>
        <w:pStyle w:val="FootnoteText"/>
        <w:jc w:val="left"/>
        <w:rPr>
          <w:lang w:val="fr-FR"/>
        </w:rPr>
      </w:pPr>
      <w:r w:rsidRPr="0003677D">
        <w:rPr>
          <w:rStyle w:val="FootnoteReference"/>
          <w:lang w:val="fr-FR"/>
        </w:rPr>
        <w:footnoteRef/>
      </w:r>
      <w:r w:rsidRPr="0003677D">
        <w:rPr>
          <w:lang w:val="fr-FR"/>
        </w:rPr>
        <w:t xml:space="preserve"> Oxfam (2014). </w:t>
      </w:r>
      <w:r w:rsidRPr="0003677D">
        <w:rPr>
          <w:i/>
          <w:lang w:val="fr-FR"/>
        </w:rPr>
        <w:t>A dangerous diversion</w:t>
      </w:r>
      <w:r w:rsidRPr="0003677D">
        <w:rPr>
          <w:lang w:val="fr-FR"/>
        </w:rPr>
        <w:t>. Voir : https://www.oxfam.org/sites/www.oxfam.org/files/bn-dangerous-diversion-lesotho-health-ppp-070414-en.pdf</w:t>
      </w:r>
    </w:p>
  </w:footnote>
  <w:footnote w:id="7">
    <w:p w14:paraId="758EAD08" w14:textId="5722DDBE" w:rsidR="00DE2665" w:rsidRPr="0003677D" w:rsidRDefault="00DE2665" w:rsidP="00400338">
      <w:pPr>
        <w:pStyle w:val="FootnoteText"/>
        <w:rPr>
          <w:lang w:val="fr-FR"/>
        </w:rPr>
      </w:pPr>
      <w:r w:rsidRPr="0003677D">
        <w:rPr>
          <w:rStyle w:val="FootnoteReference"/>
          <w:lang w:val="fr-FR"/>
        </w:rPr>
        <w:footnoteRef/>
      </w:r>
      <w:r w:rsidRPr="0003677D">
        <w:rPr>
          <w:lang w:val="fr-FR"/>
        </w:rPr>
        <w:t xml:space="preserve"> Voir la page 14 du projet de rapport sur les Dispositions contractuelles recommandées des PPP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42A"/>
    <w:multiLevelType w:val="hybridMultilevel"/>
    <w:tmpl w:val="560A3A50"/>
    <w:lvl w:ilvl="0" w:tplc="A582EC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4A5C"/>
    <w:multiLevelType w:val="hybridMultilevel"/>
    <w:tmpl w:val="61E2875E"/>
    <w:lvl w:ilvl="0" w:tplc="C88673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4494"/>
    <w:multiLevelType w:val="hybridMultilevel"/>
    <w:tmpl w:val="1AEE8164"/>
    <w:lvl w:ilvl="0" w:tplc="5CB62D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5170"/>
    <w:multiLevelType w:val="hybridMultilevel"/>
    <w:tmpl w:val="F7426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B8"/>
    <w:multiLevelType w:val="hybridMultilevel"/>
    <w:tmpl w:val="EFCAD3FC"/>
    <w:lvl w:ilvl="0" w:tplc="46C431F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8780F"/>
    <w:multiLevelType w:val="hybridMultilevel"/>
    <w:tmpl w:val="4B28A612"/>
    <w:lvl w:ilvl="0" w:tplc="C4546C7A">
      <w:numFmt w:val="bullet"/>
      <w:lvlText w:val="-"/>
      <w:lvlJc w:val="left"/>
      <w:pPr>
        <w:ind w:left="26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54"/>
    <w:rsid w:val="00005271"/>
    <w:rsid w:val="000074CD"/>
    <w:rsid w:val="00036558"/>
    <w:rsid w:val="0003677D"/>
    <w:rsid w:val="000411EF"/>
    <w:rsid w:val="00050DD3"/>
    <w:rsid w:val="00055F28"/>
    <w:rsid w:val="0006280E"/>
    <w:rsid w:val="00084E76"/>
    <w:rsid w:val="0008519E"/>
    <w:rsid w:val="00094315"/>
    <w:rsid w:val="00096857"/>
    <w:rsid w:val="000B1367"/>
    <w:rsid w:val="000B3493"/>
    <w:rsid w:val="000C10C3"/>
    <w:rsid w:val="000C2C01"/>
    <w:rsid w:val="000E4F09"/>
    <w:rsid w:val="000F1BED"/>
    <w:rsid w:val="00100254"/>
    <w:rsid w:val="00105512"/>
    <w:rsid w:val="00111763"/>
    <w:rsid w:val="00122022"/>
    <w:rsid w:val="00133214"/>
    <w:rsid w:val="00134AA7"/>
    <w:rsid w:val="00147631"/>
    <w:rsid w:val="00147F83"/>
    <w:rsid w:val="00157C26"/>
    <w:rsid w:val="0016348B"/>
    <w:rsid w:val="00173E68"/>
    <w:rsid w:val="001778D7"/>
    <w:rsid w:val="00183E88"/>
    <w:rsid w:val="001858BF"/>
    <w:rsid w:val="001900F0"/>
    <w:rsid w:val="00196A1D"/>
    <w:rsid w:val="001A69A0"/>
    <w:rsid w:val="001A6B40"/>
    <w:rsid w:val="001C2B05"/>
    <w:rsid w:val="001E5E61"/>
    <w:rsid w:val="001E5FC1"/>
    <w:rsid w:val="00223250"/>
    <w:rsid w:val="00224BCD"/>
    <w:rsid w:val="00247EDC"/>
    <w:rsid w:val="00253BDA"/>
    <w:rsid w:val="0026489D"/>
    <w:rsid w:val="002703CC"/>
    <w:rsid w:val="00284751"/>
    <w:rsid w:val="002876D9"/>
    <w:rsid w:val="002A1C83"/>
    <w:rsid w:val="002A1E21"/>
    <w:rsid w:val="002B00B6"/>
    <w:rsid w:val="002B099D"/>
    <w:rsid w:val="002B3BE1"/>
    <w:rsid w:val="002C114A"/>
    <w:rsid w:val="002E497A"/>
    <w:rsid w:val="002E4AEF"/>
    <w:rsid w:val="002F5B8B"/>
    <w:rsid w:val="0030350F"/>
    <w:rsid w:val="00305E3A"/>
    <w:rsid w:val="00313CB8"/>
    <w:rsid w:val="00331885"/>
    <w:rsid w:val="003641F4"/>
    <w:rsid w:val="00375B64"/>
    <w:rsid w:val="00383F00"/>
    <w:rsid w:val="00394DD7"/>
    <w:rsid w:val="003A3BED"/>
    <w:rsid w:val="003B1345"/>
    <w:rsid w:val="003C4E0B"/>
    <w:rsid w:val="003D05C6"/>
    <w:rsid w:val="003D0FE4"/>
    <w:rsid w:val="003D7163"/>
    <w:rsid w:val="00400338"/>
    <w:rsid w:val="004026F4"/>
    <w:rsid w:val="00410F48"/>
    <w:rsid w:val="0041297F"/>
    <w:rsid w:val="004140E9"/>
    <w:rsid w:val="00433CEC"/>
    <w:rsid w:val="00461E3E"/>
    <w:rsid w:val="00463827"/>
    <w:rsid w:val="00474922"/>
    <w:rsid w:val="00485A3D"/>
    <w:rsid w:val="004869DE"/>
    <w:rsid w:val="00486CEB"/>
    <w:rsid w:val="004B675D"/>
    <w:rsid w:val="004C4AA8"/>
    <w:rsid w:val="004C57BB"/>
    <w:rsid w:val="004D7EC9"/>
    <w:rsid w:val="004E0C99"/>
    <w:rsid w:val="004E2C35"/>
    <w:rsid w:val="004F2588"/>
    <w:rsid w:val="004F5AA6"/>
    <w:rsid w:val="0051502F"/>
    <w:rsid w:val="00520325"/>
    <w:rsid w:val="00520579"/>
    <w:rsid w:val="005306BD"/>
    <w:rsid w:val="00532E20"/>
    <w:rsid w:val="00535DA7"/>
    <w:rsid w:val="005410F0"/>
    <w:rsid w:val="0054432B"/>
    <w:rsid w:val="0056381B"/>
    <w:rsid w:val="00570A4B"/>
    <w:rsid w:val="005742ED"/>
    <w:rsid w:val="005938B3"/>
    <w:rsid w:val="00595281"/>
    <w:rsid w:val="0059734A"/>
    <w:rsid w:val="00597413"/>
    <w:rsid w:val="005C5A87"/>
    <w:rsid w:val="005C732C"/>
    <w:rsid w:val="005D052C"/>
    <w:rsid w:val="005D09C5"/>
    <w:rsid w:val="005D15D0"/>
    <w:rsid w:val="005D7629"/>
    <w:rsid w:val="005E519F"/>
    <w:rsid w:val="005F3429"/>
    <w:rsid w:val="005F3644"/>
    <w:rsid w:val="00600BD7"/>
    <w:rsid w:val="00601741"/>
    <w:rsid w:val="006450A6"/>
    <w:rsid w:val="006450E2"/>
    <w:rsid w:val="0064656B"/>
    <w:rsid w:val="00673CDD"/>
    <w:rsid w:val="00681846"/>
    <w:rsid w:val="00696BA4"/>
    <w:rsid w:val="006A3FB6"/>
    <w:rsid w:val="006A7CE8"/>
    <w:rsid w:val="006B2B9F"/>
    <w:rsid w:val="006C62F8"/>
    <w:rsid w:val="006E3C89"/>
    <w:rsid w:val="006E40DD"/>
    <w:rsid w:val="006F0B07"/>
    <w:rsid w:val="006F3653"/>
    <w:rsid w:val="006F5713"/>
    <w:rsid w:val="007070FC"/>
    <w:rsid w:val="00715510"/>
    <w:rsid w:val="0073632E"/>
    <w:rsid w:val="00740DCE"/>
    <w:rsid w:val="007604E9"/>
    <w:rsid w:val="00762683"/>
    <w:rsid w:val="00777E6D"/>
    <w:rsid w:val="00785A8A"/>
    <w:rsid w:val="007A0096"/>
    <w:rsid w:val="007A22A7"/>
    <w:rsid w:val="007A36A8"/>
    <w:rsid w:val="007B5EA6"/>
    <w:rsid w:val="007C7997"/>
    <w:rsid w:val="007F5BF4"/>
    <w:rsid w:val="0080154B"/>
    <w:rsid w:val="00802857"/>
    <w:rsid w:val="00802C33"/>
    <w:rsid w:val="00814E33"/>
    <w:rsid w:val="00825512"/>
    <w:rsid w:val="0083612E"/>
    <w:rsid w:val="0085255D"/>
    <w:rsid w:val="00854221"/>
    <w:rsid w:val="00864716"/>
    <w:rsid w:val="00875ABC"/>
    <w:rsid w:val="00882754"/>
    <w:rsid w:val="008919B8"/>
    <w:rsid w:val="008B4B1C"/>
    <w:rsid w:val="008C6255"/>
    <w:rsid w:val="008C63BE"/>
    <w:rsid w:val="008E410A"/>
    <w:rsid w:val="008E4A04"/>
    <w:rsid w:val="008F66E9"/>
    <w:rsid w:val="00901E48"/>
    <w:rsid w:val="00924F0E"/>
    <w:rsid w:val="00941666"/>
    <w:rsid w:val="00947631"/>
    <w:rsid w:val="009517D2"/>
    <w:rsid w:val="00970BDA"/>
    <w:rsid w:val="00986483"/>
    <w:rsid w:val="009877F4"/>
    <w:rsid w:val="009A08A0"/>
    <w:rsid w:val="009A361D"/>
    <w:rsid w:val="009A66A7"/>
    <w:rsid w:val="009B3E9D"/>
    <w:rsid w:val="009D2AF3"/>
    <w:rsid w:val="009E1B46"/>
    <w:rsid w:val="009E4DC6"/>
    <w:rsid w:val="00A0674A"/>
    <w:rsid w:val="00A20502"/>
    <w:rsid w:val="00A244FB"/>
    <w:rsid w:val="00A26028"/>
    <w:rsid w:val="00A47111"/>
    <w:rsid w:val="00A72EAA"/>
    <w:rsid w:val="00A76534"/>
    <w:rsid w:val="00A77F1B"/>
    <w:rsid w:val="00A92131"/>
    <w:rsid w:val="00A93A6B"/>
    <w:rsid w:val="00AD058F"/>
    <w:rsid w:val="00AE279B"/>
    <w:rsid w:val="00AE7A85"/>
    <w:rsid w:val="00AF0E4C"/>
    <w:rsid w:val="00B01EA5"/>
    <w:rsid w:val="00B176A6"/>
    <w:rsid w:val="00B22CFF"/>
    <w:rsid w:val="00B35E07"/>
    <w:rsid w:val="00B52806"/>
    <w:rsid w:val="00B56AE1"/>
    <w:rsid w:val="00B62901"/>
    <w:rsid w:val="00B639BD"/>
    <w:rsid w:val="00B7047C"/>
    <w:rsid w:val="00B76C54"/>
    <w:rsid w:val="00B8328C"/>
    <w:rsid w:val="00B846BF"/>
    <w:rsid w:val="00B9150A"/>
    <w:rsid w:val="00B91F41"/>
    <w:rsid w:val="00BA76AA"/>
    <w:rsid w:val="00BB0136"/>
    <w:rsid w:val="00BC1D2D"/>
    <w:rsid w:val="00BD0D34"/>
    <w:rsid w:val="00BD2371"/>
    <w:rsid w:val="00BE38F0"/>
    <w:rsid w:val="00C273A8"/>
    <w:rsid w:val="00C41874"/>
    <w:rsid w:val="00C42F3A"/>
    <w:rsid w:val="00C503BE"/>
    <w:rsid w:val="00C63C9C"/>
    <w:rsid w:val="00C7136A"/>
    <w:rsid w:val="00C75113"/>
    <w:rsid w:val="00CA314A"/>
    <w:rsid w:val="00CB2F37"/>
    <w:rsid w:val="00CB62E3"/>
    <w:rsid w:val="00CD09B5"/>
    <w:rsid w:val="00CD43DB"/>
    <w:rsid w:val="00CF1D6B"/>
    <w:rsid w:val="00CF7550"/>
    <w:rsid w:val="00D01CC4"/>
    <w:rsid w:val="00D2649B"/>
    <w:rsid w:val="00D5124B"/>
    <w:rsid w:val="00D56AA6"/>
    <w:rsid w:val="00D642E4"/>
    <w:rsid w:val="00D66E68"/>
    <w:rsid w:val="00D71C34"/>
    <w:rsid w:val="00D82F11"/>
    <w:rsid w:val="00D84425"/>
    <w:rsid w:val="00DA78F2"/>
    <w:rsid w:val="00DB1F72"/>
    <w:rsid w:val="00DC2F0F"/>
    <w:rsid w:val="00DC3276"/>
    <w:rsid w:val="00DC3991"/>
    <w:rsid w:val="00DC4217"/>
    <w:rsid w:val="00DC58F9"/>
    <w:rsid w:val="00DD1640"/>
    <w:rsid w:val="00DD2437"/>
    <w:rsid w:val="00DE0727"/>
    <w:rsid w:val="00DE1857"/>
    <w:rsid w:val="00DE2665"/>
    <w:rsid w:val="00DE68D8"/>
    <w:rsid w:val="00DF20C8"/>
    <w:rsid w:val="00DF373B"/>
    <w:rsid w:val="00E43904"/>
    <w:rsid w:val="00E4557C"/>
    <w:rsid w:val="00E56CD8"/>
    <w:rsid w:val="00E63D02"/>
    <w:rsid w:val="00E732B9"/>
    <w:rsid w:val="00ED2C98"/>
    <w:rsid w:val="00F073AC"/>
    <w:rsid w:val="00F16528"/>
    <w:rsid w:val="00F16749"/>
    <w:rsid w:val="00F306B5"/>
    <w:rsid w:val="00F72984"/>
    <w:rsid w:val="00F80BE8"/>
    <w:rsid w:val="00F873D6"/>
    <w:rsid w:val="00FA2C35"/>
    <w:rsid w:val="00FB3135"/>
    <w:rsid w:val="00FB5457"/>
    <w:rsid w:val="00FC718F"/>
    <w:rsid w:val="00FE4A9B"/>
    <w:rsid w:val="00FF321E"/>
    <w:rsid w:val="00FF340F"/>
    <w:rsid w:val="00FF4E26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CF23C"/>
  <w14:defaultImageDpi w14:val="300"/>
  <w15:docId w15:val="{4FFD1BD2-6065-4D50-AC16-2B6B6B5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82F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B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2F11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customStyle="1" w:styleId="apple-converted-space">
    <w:name w:val="apple-converted-space"/>
    <w:basedOn w:val="DefaultParagraphFont"/>
    <w:rsid w:val="00D82F11"/>
  </w:style>
  <w:style w:type="paragraph" w:styleId="ListParagraph">
    <w:name w:val="List Paragraph"/>
    <w:basedOn w:val="Normal"/>
    <w:uiPriority w:val="34"/>
    <w:qFormat/>
    <w:rsid w:val="005F342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72984"/>
    <w:pPr>
      <w:jc w:val="both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984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7298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729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F87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6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1C80-A500-4B94-9ABC-EB867B2F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</dc:creator>
  <cp:lastModifiedBy>Mathieu Vervynckt</cp:lastModifiedBy>
  <cp:revision>3</cp:revision>
  <cp:lastPrinted>2016-11-07T13:39:00Z</cp:lastPrinted>
  <dcterms:created xsi:type="dcterms:W3CDTF">2017-02-07T09:43:00Z</dcterms:created>
  <dcterms:modified xsi:type="dcterms:W3CDTF">2017-02-07T09:47:00Z</dcterms:modified>
</cp:coreProperties>
</file>